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486"/>
      </w:tblGrid>
      <w:tr>
        <w:tc>
          <w:tcPr>
            <w:tcW w:type="dxa" w:w="55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2095500" cy="352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86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6B7A9B"/>
                <w:spacing w:val="120"/>
                <w:sz w:val="16"/>
                <w:szCs w:val="16"/>
              </w:rPr>
              <w:t xml:space="preserve">PARTNERSHIP BRIEF</w:t>
            </w:r>
          </w:p>
        </w:tc>
      </w:tr>
    </w:tbl>
    <w:p>
      <w:pPr>
        <w:pBdr>
          <w:bottom w:val="single" w:color="D4A817" w:sz="4" w:space="1"/>
        </w:pBdr>
        <w:spacing w:before="8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D4D"/>
          <w:sz w:val="32"/>
          <w:szCs w:val="32"/>
        </w:rPr>
        <w:t xml:space="preserve">Two Platforms. One Compliance Stack.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3A4A6B"/>
          <w:sz w:val="19"/>
          <w:szCs w:val="19"/>
        </w:rPr>
        <w:t xml:space="preserve">Duna verifies who the bank is. amleht verifies whether their infrastructure is sovereign and compliant. European financial institutions need both.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03399"/>
          <w:spacing w:val="80"/>
          <w:sz w:val="16"/>
          <w:szCs w:val="16"/>
        </w:rPr>
        <w:t xml:space="preserve">THE OPPORTUNITY</w:t>
      </w:r>
    </w:p>
    <w:p>
      <w:pPr>
        <w:spacing w:after="60"/>
      </w:pPr>
      <w:r>
        <w:rPr>
          <w:rFonts w:ascii="Arial" w:cs="Arial" w:eastAsia="Arial" w:hAnsi="Arial"/>
          <w:color w:val="1A2D4D"/>
          <w:sz w:val="18"/>
          <w:szCs w:val="18"/>
        </w:rPr>
        <w:t xml:space="preserve">DORA enforcement began January 2025. European financial institutions must now prove operational resilience across their entire digital infrastructure — but most are managing sovereignty compliance with spreadsheets and non-EU outsourced consultants. Gartner forecasts European sovereign cloud spending will triple to €20.7B by 2027. The compliance gap is massive and growing.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003399"/>
          <w:spacing w:val="80"/>
          <w:sz w:val="16"/>
          <w:szCs w:val="16"/>
        </w:rPr>
        <w:t xml:space="preserve">COMPLEMENTARY PLATFORMS — ZERO OVERLAP</w:t>
      </w:r>
    </w:p>
    <w:tbl>
      <w:tblPr>
        <w:tblW w:type="dxa" w:w="99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7"/>
        <w:gridCol w:w="3745"/>
        <w:gridCol w:w="3744"/>
      </w:tblGrid>
      <w:tr>
        <w:tc>
          <w:tcPr>
            <w:tcW w:type="dxa" w:w="2497"/>
            <w:tcBorders>
              <w:top w:val="none"/>
              <w:left w:val="none"/>
              <w:bottom w:val="single" w:color="D0D8E8" w:sz="1"/>
              <w:right w:val="none"/>
            </w:tcBorders>
            <w:shd w:fill="003399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3745"/>
            <w:tcBorders>
              <w:top w:val="none"/>
              <w:left w:val="none"/>
              <w:bottom w:val="single" w:color="D0D8E8" w:sz="1"/>
              <w:right w:val="none"/>
            </w:tcBorders>
            <w:shd w:fill="003399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Duna</w:t>
            </w:r>
          </w:p>
        </w:tc>
        <w:tc>
          <w:tcPr>
            <w:tcW w:type="dxa" w:w="3744"/>
            <w:tcBorders>
              <w:top w:val="none"/>
              <w:left w:val="none"/>
              <w:bottom w:val="single" w:color="D0D8E8" w:sz="1"/>
              <w:right w:val="none"/>
            </w:tcBorders>
            <w:shd w:fill="003399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amleht | EU</w:t>
            </w:r>
          </w:p>
        </w:tc>
      </w:tr>
      <w:tr>
        <w:tc>
          <w:tcPr>
            <w:tcW w:type="dxa" w:w="2497"/>
            <w:tcBorders>
              <w:top w:val="none"/>
              <w:left w:val="none"/>
              <w:bottom w:val="single" w:color="D0D8E8" w:sz="1"/>
              <w:right w:val="none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399"/>
                <w:sz w:val="16"/>
                <w:szCs w:val="16"/>
              </w:rPr>
              <w:t xml:space="preserve">Focus</w:t>
            </w:r>
          </w:p>
        </w:tc>
        <w:tc>
          <w:tcPr>
            <w:tcW w:type="dxa" w:w="3745"/>
            <w:tcBorders>
              <w:top w:val="none"/>
              <w:left w:val="none"/>
              <w:bottom w:val="single" w:color="D0D8E8" w:sz="1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D4D"/>
                <w:sz w:val="17"/>
                <w:szCs w:val="17"/>
              </w:rPr>
              <w:t xml:space="preserve">Business identity verification &amp; KYB onboarding</w:t>
            </w:r>
          </w:p>
        </w:tc>
        <w:tc>
          <w:tcPr>
            <w:tcW w:type="dxa" w:w="3744"/>
            <w:tcBorders>
              <w:top w:val="none"/>
              <w:left w:val="none"/>
              <w:bottom w:val="single" w:color="D0D8E8" w:sz="1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D4D"/>
                <w:sz w:val="17"/>
                <w:szCs w:val="17"/>
              </w:rPr>
              <w:t xml:space="preserve">Infrastructure sovereignty &amp; operational resilience</w:t>
            </w:r>
          </w:p>
        </w:tc>
      </w:tr>
      <w:tr>
        <w:tc>
          <w:tcPr>
            <w:tcW w:type="dxa" w:w="2497"/>
            <w:tcBorders>
              <w:top w:val="none"/>
              <w:left w:val="none"/>
              <w:bottom w:val="single" w:color="D0D8E8" w:sz="1"/>
              <w:right w:val="none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399"/>
                <w:sz w:val="16"/>
                <w:szCs w:val="16"/>
              </w:rPr>
              <w:t xml:space="preserve">Question</w:t>
            </w:r>
          </w:p>
        </w:tc>
        <w:tc>
          <w:tcPr>
            <w:tcW w:type="dxa" w:w="3745"/>
            <w:tcBorders>
              <w:top w:val="none"/>
              <w:left w:val="none"/>
              <w:bottom w:val="single" w:color="D0D8E8" w:sz="1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D4D"/>
                <w:sz w:val="17"/>
                <w:szCs w:val="17"/>
              </w:rPr>
              <w:t xml:space="preserve">"Is this business who they say they are?"</w:t>
            </w:r>
          </w:p>
        </w:tc>
        <w:tc>
          <w:tcPr>
            <w:tcW w:type="dxa" w:w="3744"/>
            <w:tcBorders>
              <w:top w:val="none"/>
              <w:left w:val="none"/>
              <w:bottom w:val="single" w:color="D0D8E8" w:sz="1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D4D"/>
                <w:sz w:val="17"/>
                <w:szCs w:val="17"/>
              </w:rPr>
              <w:t xml:space="preserve">"Is their infrastructure sovereign and DORA compliant?"</w:t>
            </w:r>
          </w:p>
        </w:tc>
      </w:tr>
      <w:tr>
        <w:tc>
          <w:tcPr>
            <w:tcW w:type="dxa" w:w="2497"/>
            <w:tcBorders>
              <w:top w:val="none"/>
              <w:left w:val="none"/>
              <w:bottom w:val="single" w:color="D0D8E8" w:sz="1"/>
              <w:right w:val="none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399"/>
                <w:sz w:val="16"/>
                <w:szCs w:val="16"/>
              </w:rPr>
              <w:t xml:space="preserve">Regulations</w:t>
            </w:r>
          </w:p>
        </w:tc>
        <w:tc>
          <w:tcPr>
            <w:tcW w:type="dxa" w:w="3745"/>
            <w:tcBorders>
              <w:top w:val="none"/>
              <w:left w:val="none"/>
              <w:bottom w:val="single" w:color="D0D8E8" w:sz="1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D4D"/>
                <w:sz w:val="17"/>
                <w:szCs w:val="17"/>
              </w:rPr>
              <w:t xml:space="preserve">AMLD5/6, PSD2/3, DAC7, KYC/KYB</w:t>
            </w:r>
          </w:p>
        </w:tc>
        <w:tc>
          <w:tcPr>
            <w:tcW w:type="dxa" w:w="3744"/>
            <w:tcBorders>
              <w:top w:val="none"/>
              <w:left w:val="none"/>
              <w:bottom w:val="single" w:color="D0D8E8" w:sz="1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D4D"/>
                <w:sz w:val="17"/>
                <w:szCs w:val="17"/>
              </w:rPr>
              <w:t xml:space="preserve">DORA, MiFID II, GDPR, MAR, CSRD</w:t>
            </w:r>
          </w:p>
        </w:tc>
      </w:tr>
      <w:tr>
        <w:tc>
          <w:tcPr>
            <w:tcW w:type="dxa" w:w="2497"/>
            <w:tcBorders>
              <w:top w:val="none"/>
              <w:left w:val="none"/>
              <w:bottom w:val="single" w:color="D0D8E8" w:sz="1"/>
              <w:right w:val="none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399"/>
                <w:sz w:val="16"/>
                <w:szCs w:val="16"/>
              </w:rPr>
              <w:t xml:space="preserve">AI Layer</w:t>
            </w:r>
          </w:p>
        </w:tc>
        <w:tc>
          <w:tcPr>
            <w:tcW w:type="dxa" w:w="3745"/>
            <w:tcBorders>
              <w:top w:val="none"/>
              <w:left w:val="none"/>
              <w:bottom w:val="single" w:color="D0D8E8" w:sz="1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D4D"/>
                <w:sz w:val="17"/>
                <w:szCs w:val="17"/>
              </w:rPr>
              <w:t xml:space="preserve">AI-native identity verification</w:t>
            </w:r>
          </w:p>
        </w:tc>
        <w:tc>
          <w:tcPr>
            <w:tcW w:type="dxa" w:w="3744"/>
            <w:tcBorders>
              <w:top w:val="none"/>
              <w:left w:val="none"/>
              <w:bottom w:val="single" w:color="D0D8E8" w:sz="1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D4D"/>
                <w:sz w:val="17"/>
                <w:szCs w:val="17"/>
              </w:rPr>
              <w:t xml:space="preserve">10 specialised AI agents on EU-sovereign inference</w:t>
            </w:r>
          </w:p>
        </w:tc>
      </w:tr>
      <w:tr>
        <w:tc>
          <w:tcPr>
            <w:tcW w:type="dxa" w:w="2497"/>
            <w:tcBorders>
              <w:top w:val="none"/>
              <w:left w:val="none"/>
              <w:bottom w:val="none"/>
              <w:right w:val="none"/>
            </w:tcBorders>
            <w:shd w:fill="F2F5FA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399"/>
                <w:sz w:val="16"/>
                <w:szCs w:val="16"/>
              </w:rPr>
              <w:t xml:space="preserve">Inference</w:t>
            </w:r>
          </w:p>
        </w:tc>
        <w:tc>
          <w:tcPr>
            <w:tcW w:type="dxa" w:w="3745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D4D"/>
                <w:sz w:val="17"/>
                <w:szCs w:val="17"/>
              </w:rPr>
              <w:t xml:space="preserve">—</w:t>
            </w:r>
          </w:p>
        </w:tc>
        <w:tc>
          <w:tcPr>
            <w:tcW w:type="dxa" w:w="3744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2D4D"/>
                <w:sz w:val="17"/>
                <w:szCs w:val="17"/>
              </w:rPr>
              <w:t xml:space="preserve">Nebius Token Factory (Finland)</w:t>
            </w:r>
          </w:p>
        </w:tc>
      </w:tr>
    </w:tbl>
    <w:p>
      <w:pPr>
        <w:spacing w:before="220" w:after="100"/>
      </w:pPr>
      <w:r>
        <w:rPr>
          <w:rFonts w:ascii="Arial" w:cs="Arial" w:eastAsia="Arial" w:hAnsi="Arial"/>
          <w:b/>
          <w:bCs/>
          <w:color w:val="003399"/>
          <w:spacing w:val="80"/>
          <w:sz w:val="16"/>
          <w:szCs w:val="16"/>
        </w:rPr>
        <w:t xml:space="preserve">THE COMBINED VALUE</w:t>
      </w:r>
    </w:p>
    <w:tbl>
      <w:tblPr>
        <w:tblW w:type="dxa" w:w="99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9"/>
        <w:gridCol w:w="3329"/>
        <w:gridCol w:w="3328"/>
      </w:tblGrid>
      <w:tr>
        <w:tc>
          <w:tcPr>
            <w:tcW w:type="dxa" w:w="3329"/>
            <w:tcBorders>
              <w:top w:val="none"/>
              <w:left w:val="none"/>
              <w:bottom w:val="none"/>
              <w:right w:val="none"/>
            </w:tcBorders>
            <w:shd w:fill="F2F5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3399"/>
                <w:sz w:val="16"/>
                <w:szCs w:val="16"/>
              </w:rPr>
              <w:t xml:space="preserve">Referral Pipeline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A4A6B"/>
                <w:sz w:val="15"/>
                <w:szCs w:val="15"/>
              </w:rPr>
              <w:t xml:space="preserve">Duna's KYB clients need infrastructure compliance. amleht's clients need identity verification. Shared pipeline, no overlap.</w:t>
            </w:r>
          </w:p>
        </w:tc>
        <w:tc>
          <w:tcPr>
            <w:tcW w:type="dxa" w:w="3329"/>
            <w:tcBorders>
              <w:top w:val="none"/>
              <w:left w:val="none"/>
              <w:bottom w:val="none"/>
              <w:right w:val="none"/>
            </w:tcBorders>
            <w:shd w:fill="F2F5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3399"/>
                <w:sz w:val="16"/>
                <w:szCs w:val="16"/>
              </w:rPr>
              <w:t xml:space="preserve">Trust Bundle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A4A6B"/>
                <w:sz w:val="15"/>
                <w:szCs w:val="15"/>
              </w:rPr>
              <w:t xml:space="preserve">Duna's digital passport + amleht's sovereignty assessment = a verified trust score no competitor offers.</w:t>
            </w:r>
          </w:p>
        </w:tc>
        <w:tc>
          <w:tcPr>
            <w:tcW w:type="dxa" w:w="3329"/>
            <w:tcBorders>
              <w:top w:val="none"/>
              <w:left w:val="none"/>
              <w:bottom w:val="none"/>
              <w:right w:val="none"/>
            </w:tcBorders>
            <w:shd w:fill="F2F5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3399"/>
                <w:sz w:val="16"/>
                <w:szCs w:val="16"/>
              </w:rPr>
              <w:t xml:space="preserve">Co-Sell to Banks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A4A6B"/>
                <w:sz w:val="15"/>
                <w:szCs w:val="15"/>
              </w:rPr>
              <w:t xml:space="preserve">Joint proposals to European banks as a combined compliance stack. A uniquely European alternative to US-dependent solutions.</w:t>
            </w:r>
          </w:p>
        </w:tc>
      </w:tr>
    </w:tbl>
    <w:p>
      <w:pPr>
        <w:spacing w:before="220" w:after="100"/>
      </w:pPr>
      <w:r>
        <w:rPr>
          <w:rFonts w:ascii="Arial" w:cs="Arial" w:eastAsia="Arial" w:hAnsi="Arial"/>
          <w:b/>
          <w:bCs/>
          <w:color w:val="003399"/>
          <w:spacing w:val="80"/>
          <w:sz w:val="16"/>
          <w:szCs w:val="16"/>
        </w:rPr>
        <w:t xml:space="preserve">VALIDATED &amp; PROVEN</w:t>
      </w:r>
    </w:p>
    <w:tbl>
      <w:tblPr>
        <w:tblW w:type="dxa" w:w="99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7"/>
        <w:gridCol w:w="2497"/>
        <w:gridCol w:w="2497"/>
        <w:gridCol w:w="2495"/>
      </w:tblGrid>
      <w:tr>
        <w:tc>
          <w:tcPr>
            <w:tcW w:type="dxa" w:w="2497"/>
            <w:tcBorders>
              <w:top w:val="none"/>
              <w:left w:val="none"/>
              <w:bottom w:val="none"/>
              <w:right w:val="none"/>
            </w:tcBorders>
            <w:shd w:fill="FFF8E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2D4D"/>
                <w:sz w:val="24"/>
                <w:szCs w:val="24"/>
              </w:rPr>
              <w:t xml:space="preserve">10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A4A6B"/>
                <w:sz w:val="14"/>
                <w:szCs w:val="14"/>
              </w:rPr>
              <w:t xml:space="preserve">Specialised AI agents covering DORA, MiFID II, GDPR, AML &amp; more</w:t>
            </w:r>
          </w:p>
        </w:tc>
        <w:tc>
          <w:tcPr>
            <w:tcW w:type="dxa" w:w="2497"/>
            <w:tcBorders>
              <w:top w:val="none"/>
              <w:left w:val="none"/>
              <w:bottom w:val="none"/>
              <w:right w:val="none"/>
            </w:tcBorders>
            <w:shd w:fill="FFF8E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2D4D"/>
                <w:sz w:val="24"/>
                <w:szCs w:val="24"/>
              </w:rPr>
              <w:t xml:space="preserve">56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A4A6B"/>
                <w:sz w:val="14"/>
                <w:szCs w:val="14"/>
              </w:rPr>
              <w:t xml:space="preserve">Reproducible test evidence files across full platform validation</w:t>
            </w:r>
          </w:p>
        </w:tc>
        <w:tc>
          <w:tcPr>
            <w:tcW w:type="dxa" w:w="2497"/>
            <w:tcBorders>
              <w:top w:val="none"/>
              <w:left w:val="none"/>
              <w:bottom w:val="none"/>
              <w:right w:val="none"/>
            </w:tcBorders>
            <w:shd w:fill="FFF8E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2D4D"/>
                <w:sz w:val="24"/>
                <w:szCs w:val="24"/>
              </w:rPr>
              <w:t xml:space="preserve">100%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A4A6B"/>
                <w:sz w:val="14"/>
                <w:szCs w:val="14"/>
              </w:rPr>
              <w:t xml:space="preserve">EU-sovereign inference via Nebius Token Factory (Helsinki)</w:t>
            </w:r>
          </w:p>
        </w:tc>
        <w:tc>
          <w:tcPr>
            <w:tcW w:type="dxa" w:w="2497"/>
            <w:tcBorders>
              <w:top w:val="none"/>
              <w:left w:val="none"/>
              <w:bottom w:val="none"/>
              <w:right w:val="none"/>
            </w:tcBorders>
            <w:shd w:fill="FFF8E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A2D4D"/>
                <w:sz w:val="24"/>
                <w:szCs w:val="24"/>
              </w:rPr>
              <w:t xml:space="preserve">20 yrs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A4A6B"/>
                <w:sz w:val="14"/>
                <w:szCs w:val="14"/>
              </w:rPr>
              <w:t xml:space="preserve">Enterprise infrastructure experience (UBS, Deutsche Bank, AWS)</w:t>
            </w:r>
          </w:p>
        </w:tc>
      </w:tr>
    </w:tbl>
    <w:p>
      <w:pPr>
        <w:spacing w:before="0" w:after="20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003399"/>
          <w:spacing w:val="80"/>
          <w:sz w:val="16"/>
          <w:szCs w:val="16"/>
        </w:rPr>
        <w:t xml:space="preserve">WHY THE NETHERLANDS</w:t>
      </w:r>
    </w:p>
    <w:p>
      <w:pPr>
        <w:spacing w:after="60"/>
      </w:pPr>
      <w:r>
        <w:rPr>
          <w:rFonts w:ascii="Arial" w:cs="Arial" w:eastAsia="Arial" w:hAnsi="Arial"/>
          <w:color w:val="1A2D4D"/>
          <w:sz w:val="18"/>
          <w:szCs w:val="18"/>
        </w:rPr>
        <w:t xml:space="preserve">The four largest Dutch banks employ 14,000 compliance staff — 7,000 focused on business compliance alone. </w:t>
      </w:r>
      <w:r>
        <w:rPr>
          <w:rFonts w:ascii="Arial" w:cs="Arial" w:eastAsia="Arial" w:hAnsi="Arial"/>
          <w:color w:val="1A2D4D"/>
          <w:sz w:val="18"/>
          <w:szCs w:val="18"/>
        </w:rPr>
        <w:t xml:space="preserve">Duna and amleht, both Amsterdam-based, address two sides of this same compliance mountain: identity verification and infrastructure sovereignty. The Dutch financial ecosystem is the natural starting patch for a combined European offering.</w:t>
      </w:r>
    </w:p>
    <w:p>
      <w:pPr>
        <w:spacing w:before="0" w:after="60"/>
      </w:pPr>
    </w:p>
    <w:tbl>
      <w:tblPr>
        <w:tblW w:type="dxa" w:w="99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6"/>
      </w:tblGrid>
      <w:tr>
        <w:tc>
          <w:tcPr>
            <w:tcW w:type="dxa" w:w="9986"/>
            <w:tcBorders>
              <w:top w:val="none"/>
              <w:left w:val="none"/>
              <w:bottom w:val="none"/>
              <w:right w:val="none"/>
            </w:tcBorders>
            <w:shd w:fill="F2F5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3A4A6B"/>
                <w:sz w:val="17"/>
                <w:szCs w:val="17"/>
              </w:rPr>
              <w:t xml:space="preserve">Platform preview live at  </w:t>
            </w:r>
            <w:r>
              <w:rPr>
                <w:rFonts w:ascii="Arial" w:cs="Arial" w:eastAsia="Arial" w:hAnsi="Arial"/>
                <w:b/>
                <w:bCs/>
                <w:color w:val="003399"/>
                <w:sz w:val="17"/>
                <w:szCs w:val="17"/>
              </w:rPr>
              <w:t xml:space="preserve">amleht.eu</w:t>
            </w:r>
          </w:p>
        </w:tc>
      </w:tr>
    </w:tbl>
    <w:p>
      <w:pPr>
        <w:spacing w:before="0" w:after="700"/>
      </w:pPr>
    </w:p>
    <w:tbl>
      <w:tblPr>
        <w:tblW w:type="dxa" w:w="99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6"/>
      </w:tblGrid>
      <w:tr>
        <w:tc>
          <w:tcPr>
            <w:tcW w:type="dxa" w:w="9986"/>
            <w:tcBorders>
              <w:top w:val="none"/>
              <w:left w:val="none"/>
              <w:bottom w:val="none"/>
              <w:right w:val="none"/>
            </w:tcBorders>
            <w:shd w:fill="1A2D4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NEXT STEP  </w:t>
            </w:r>
            <w:r>
              <w:rPr>
                <w:rFonts w:ascii="Arial" w:cs="Arial" w:eastAsia="Arial" w:hAnsi="Arial"/>
                <w:color w:val="D0DDEF"/>
                <w:sz w:val="16"/>
                <w:szCs w:val="16"/>
              </w:rPr>
              <w:t xml:space="preserve">45-minute technical walkthrough — live demo, full test evidence, and an open conversation about where our platforms intersect. Two Amsterdam founders, zero pitch, just an exploration.</w:t>
            </w:r>
          </w:p>
        </w:tc>
      </w:tr>
    </w:tbl>
    <w:sectPr>
      <w:footerReference w:type="default" r:id="rId6"/>
      <w:pgSz w:w="11906" w:h="16838" w:orient="portrait"/>
      <w:pgMar w:top="620" w:right="960" w:bottom="52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spacing w:after="0"/>
    </w:pPr>
    <w:r>
      <w:rPr>
        <w:rFonts w:ascii="Arial" w:cs="Arial" w:eastAsia="Arial" w:hAnsi="Arial"/>
        <w:color w:val="6B7A9B"/>
        <w:sz w:val="14"/>
        <w:szCs w:val="14"/>
      </w:rPr>
      <w:t xml:space="preserve">Andrew van den Berg  •  Principal Consultant  •  amleht.io</w:t>
    </w:r>
    <w:r>
      <w:ptab w:alignment="right" w:relativeTo="margin" w:leader="none"/>
    </w:r>
    <w:r>
      <w:rPr>
        <w:rFonts w:ascii="Arial" w:cs="Arial" w:eastAsia="Arial" w:hAnsi="Arial"/>
        <w:color w:val="6B7A9B"/>
        <w:sz w:val="14"/>
        <w:szCs w:val="14"/>
      </w:rPr>
      <w:t xml:space="preserve">amleht.eu  •  Amsterdam  •  andrew@amleht.io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863c3e4de9e60b19ccea4aa534d4d8b055bf93fd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2026-02-14T15:14:14.529Z</dcterms:created>
  <dcterms:modified xsi:type="dcterms:W3CDTF">2026-02-14T15:14:14.530Z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