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36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28"/>
        <w:gridCol w:w="3438"/>
        <w:tblGridChange w:id="0">
          <w:tblGrid>
            <w:gridCol w:w="8928"/>
            <w:gridCol w:w="3438"/>
          </w:tblGrid>
        </w:tblGridChange>
      </w:tblGrid>
      <w:tr>
        <w:trPr>
          <w:cantSplit w:val="0"/>
          <w:trHeight w:val="6923" w:hRule="atLeast"/>
          <w:tblHeader w:val="0"/>
        </w:trPr>
        <w:tc>
          <w:tcPr>
            <w:vMerge w:val="restart"/>
            <w:tcBorders>
              <w:bottom w:color="000000" w:space="0" w:sz="4" w:val="single"/>
            </w:tcBorders>
          </w:tcPr>
          <w:p w:rsidR="00000000" w:rsidDel="00000000" w:rsidP="00000000" w:rsidRDefault="00000000" w:rsidRPr="00000000" w14:paraId="00000002">
            <w:pPr>
              <w:spacing w:after="0" w:line="240" w:lineRule="auto"/>
              <w:ind w:left="720" w:hanging="720"/>
              <w:jc w:val="center"/>
              <w:rPr>
                <w:rFonts w:ascii="Neuropol X Free" w:cs="Neuropol X Free" w:eastAsia="Neuropol X Free" w:hAnsi="Neuropol X Free"/>
                <w:b w:val="1"/>
                <w:color w:val="3c3d75"/>
                <w:sz w:val="28"/>
                <w:szCs w:val="28"/>
              </w:rPr>
            </w:pPr>
            <w:r w:rsidDel="00000000" w:rsidR="00000000" w:rsidRPr="00000000">
              <w:rPr>
                <w:rFonts w:ascii="Neuropol X Free" w:cs="Neuropol X Free" w:eastAsia="Neuropol X Free" w:hAnsi="Neuropol X Free"/>
                <w:b w:val="1"/>
                <w:color w:val="3c3d75"/>
                <w:sz w:val="28"/>
                <w:szCs w:val="28"/>
                <w:rtl w:val="0"/>
              </w:rPr>
              <w:t xml:space="preserve">Call for Papers</w:t>
            </w:r>
          </w:p>
          <w:p w:rsidR="00000000" w:rsidDel="00000000" w:rsidP="00000000" w:rsidRDefault="00000000" w:rsidRPr="00000000" w14:paraId="00000003">
            <w:pPr>
              <w:spacing w:after="0" w:line="240" w:lineRule="auto"/>
              <w:ind w:left="720" w:hanging="720"/>
              <w:jc w:val="center"/>
              <w:rPr>
                <w:rFonts w:ascii="Neuropol X Free" w:cs="Neuropol X Free" w:eastAsia="Neuropol X Free" w:hAnsi="Neuropol X Free"/>
                <w:b w:val="1"/>
                <w:color w:val="3c3d75"/>
                <w:sz w:val="4"/>
                <w:szCs w:val="4"/>
              </w:rPr>
            </w:pPr>
            <w:r w:rsidDel="00000000" w:rsidR="00000000" w:rsidRPr="00000000">
              <w:rPr>
                <w:rtl w:val="0"/>
              </w:rPr>
            </w:r>
          </w:p>
          <w:p w:rsidR="00000000" w:rsidDel="00000000" w:rsidP="00000000" w:rsidRDefault="00000000" w:rsidRPr="00000000" w14:paraId="00000004">
            <w:pPr>
              <w:spacing w:after="0" w:line="240" w:lineRule="auto"/>
              <w:jc w:val="both"/>
              <w:rPr>
                <w:sz w:val="20"/>
                <w:szCs w:val="20"/>
              </w:rPr>
            </w:pPr>
            <w:r w:rsidDel="00000000" w:rsidR="00000000" w:rsidRPr="00000000">
              <w:rPr>
                <w:sz w:val="20"/>
                <w:szCs w:val="20"/>
                <w:rtl w:val="0"/>
              </w:rPr>
              <w:t xml:space="preserve">The objective of this workshop is to highlight cutting edge advances and state-of-the-art work being made in the exponentially growing field of PBVS (previously “Object Tracking &amp; Classification Beyond the Visible Spectrum” - OTCBVS) integrating sensor processing, algorithms, and applications. PBVS involves deep theoretical research in sub-areas of image processing, machine vision, pattern recognition, machine learning, robotics, and augmented reality within and beyond the visible spectrum. Advancing vision-based systems includes frameworks and methods featured in PBVS.</w:t>
            </w:r>
          </w:p>
          <w:p w:rsidR="00000000" w:rsidDel="00000000" w:rsidP="00000000" w:rsidRDefault="00000000" w:rsidRPr="00000000" w14:paraId="00000005">
            <w:pPr>
              <w:spacing w:after="0" w:line="240" w:lineRule="auto"/>
              <w:jc w:val="both"/>
              <w:rPr>
                <w:sz w:val="6"/>
                <w:szCs w:val="6"/>
              </w:rPr>
            </w:pPr>
            <w:r w:rsidDel="00000000" w:rsidR="00000000" w:rsidRPr="00000000">
              <w:rPr>
                <w:rtl w:val="0"/>
              </w:rPr>
            </w:r>
          </w:p>
          <w:p w:rsidR="00000000" w:rsidDel="00000000" w:rsidP="00000000" w:rsidRDefault="00000000" w:rsidRPr="00000000" w14:paraId="00000006">
            <w:pPr>
              <w:spacing w:after="0" w:line="240" w:lineRule="auto"/>
              <w:jc w:val="both"/>
              <w:rPr>
                <w:sz w:val="20"/>
                <w:szCs w:val="20"/>
              </w:rPr>
            </w:pPr>
            <w:r w:rsidDel="00000000" w:rsidR="00000000" w:rsidRPr="00000000">
              <w:rPr>
                <w:sz w:val="20"/>
                <w:szCs w:val="20"/>
                <w:rtl w:val="0"/>
              </w:rPr>
              <w:t xml:space="preserve">The computer vision community has typically focused mostly on the development of vision algorithms for object detection, tracking, and classification with visible range sensors in day and office-like environments. In the last decade, infrared (IR), depth, thermal and other non-visible imaging sensors were used only in special area like medicine and defense. The relatively lower interest level in those sensory areas in comparison to traditional computer vision was due in part to their high cost, low resolutions, poor image quality, lack of widely available data sets, and/or lack of consideration of the potential advantages of the non-visible part of the spectrum. These objections are becoming overcome as sensory technology is advancing rapidly and the sensor cost is dropping dramatically. Image sensing devices with high dynamic range and IR sensitivity have started to appear in a growing number of applications ranging from defense and automotive domains to home and office security.</w:t>
            </w:r>
          </w:p>
          <w:p w:rsidR="00000000" w:rsidDel="00000000" w:rsidP="00000000" w:rsidRDefault="00000000" w:rsidRPr="00000000" w14:paraId="00000007">
            <w:pPr>
              <w:spacing w:after="0" w:line="240" w:lineRule="auto"/>
              <w:jc w:val="both"/>
              <w:rPr>
                <w:sz w:val="6"/>
                <w:szCs w:val="6"/>
              </w:rPr>
            </w:pPr>
            <w:r w:rsidDel="00000000" w:rsidR="00000000" w:rsidRPr="00000000">
              <w:rPr>
                <w:rtl w:val="0"/>
              </w:rPr>
            </w:r>
          </w:p>
          <w:p w:rsidR="00000000" w:rsidDel="00000000" w:rsidP="00000000" w:rsidRDefault="00000000" w:rsidRPr="00000000" w14:paraId="00000008">
            <w:pPr>
              <w:spacing w:after="0" w:line="240" w:lineRule="auto"/>
              <w:jc w:val="both"/>
              <w:rPr>
                <w:sz w:val="20"/>
                <w:szCs w:val="20"/>
              </w:rPr>
            </w:pPr>
            <w:r w:rsidDel="00000000" w:rsidR="00000000" w:rsidRPr="00000000">
              <w:rPr>
                <w:sz w:val="20"/>
                <w:szCs w:val="20"/>
                <w:rtl w:val="0"/>
              </w:rPr>
              <w:t xml:space="preserve">We encourage the submission of original papers that cover the topics of interest mentioned below. In order to develop robust and accurate vision-based systems that operate in and beyond the visible spectrum, not only existing methods and algorithms originally developed for the visible range should be improved and adapted, but also entirely new algorithms that consider the potential advantages of non-visible ranges are certainly required. The fusion of visible and non-visible ranges, like radar and IR images, depth images or IMU information, or thermal and visible spectrum images as well as acoustic images, is another dimension to explore for higher performance of vision-based systems.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5600700</wp:posOffset>
                      </wp:positionH>
                      <wp:positionV relativeFrom="paragraph">
                        <wp:posOffset>254000</wp:posOffset>
                      </wp:positionV>
                      <wp:extent cx="2131695" cy="12700"/>
                      <wp:effectExtent b="0" l="0" r="0" t="0"/>
                      <wp:wrapNone/>
                      <wp:docPr id="4" name=""/>
                      <a:graphic>
                        <a:graphicData uri="http://schemas.microsoft.com/office/word/2010/wordprocessingShape">
                          <wps:wsp>
                            <wps:cNvCnPr/>
                            <wps:spPr>
                              <a:xfrm>
                                <a:off x="4280153" y="3780000"/>
                                <a:ext cx="213169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5600700</wp:posOffset>
                      </wp:positionH>
                      <wp:positionV relativeFrom="paragraph">
                        <wp:posOffset>254000</wp:posOffset>
                      </wp:positionV>
                      <wp:extent cx="2131695" cy="12700"/>
                      <wp:effectExtent b="0" l="0" r="0" t="0"/>
                      <wp:wrapNone/>
                      <wp:docPr id="4"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131695" cy="12700"/>
                              </a:xfrm>
                              <a:prstGeom prst="rect"/>
                              <a:ln/>
                            </pic:spPr>
                          </pic:pic>
                        </a:graphicData>
                      </a:graphic>
                    </wp:anchor>
                  </w:drawing>
                </mc:Fallback>
              </mc:AlternateContent>
            </w:r>
          </w:p>
          <w:p w:rsidR="00000000" w:rsidDel="00000000" w:rsidP="00000000" w:rsidRDefault="00000000" w:rsidRPr="00000000" w14:paraId="00000009">
            <w:pPr>
              <w:spacing w:after="0" w:line="240" w:lineRule="auto"/>
              <w:jc w:val="both"/>
              <w:rPr>
                <w:sz w:val="6"/>
                <w:szCs w:val="6"/>
              </w:rPr>
            </w:pPr>
            <w:r w:rsidDel="00000000" w:rsidR="00000000" w:rsidRPr="00000000">
              <w:rPr>
                <w:rtl w:val="0"/>
              </w:rPr>
            </w:r>
          </w:p>
          <w:p w:rsidR="00000000" w:rsidDel="00000000" w:rsidP="00000000" w:rsidRDefault="00000000" w:rsidRPr="00000000" w14:paraId="0000000A">
            <w:pPr>
              <w:spacing w:after="0" w:line="240" w:lineRule="auto"/>
              <w:jc w:val="both"/>
              <w:rPr>
                <w:sz w:val="20"/>
                <w:szCs w:val="20"/>
              </w:rPr>
            </w:pPr>
            <w:r w:rsidDel="00000000" w:rsidR="00000000" w:rsidRPr="00000000">
              <w:rPr>
                <w:sz w:val="20"/>
                <w:szCs w:val="20"/>
                <w:rtl w:val="0"/>
              </w:rPr>
              <w:t xml:space="preserve">This </w:t>
            </w:r>
            <w:r w:rsidDel="00000000" w:rsidR="00000000" w:rsidRPr="00000000">
              <w:rPr>
                <w:b w:val="1"/>
                <w:sz w:val="20"/>
                <w:szCs w:val="20"/>
                <w:rtl w:val="0"/>
              </w:rPr>
              <w:t xml:space="preserve">18</w:t>
            </w:r>
            <w:r w:rsidDel="00000000" w:rsidR="00000000" w:rsidRPr="00000000">
              <w:rPr>
                <w:b w:val="1"/>
                <w:sz w:val="20"/>
                <w:szCs w:val="20"/>
                <w:vertAlign w:val="superscript"/>
                <w:rtl w:val="0"/>
              </w:rPr>
              <w:t xml:space="preserve">th</w:t>
            </w:r>
            <w:r w:rsidDel="00000000" w:rsidR="00000000" w:rsidRPr="00000000">
              <w:rPr>
                <w:b w:val="1"/>
                <w:sz w:val="20"/>
                <w:szCs w:val="20"/>
                <w:rtl w:val="0"/>
              </w:rPr>
              <w:t xml:space="preserve"> IEEE CVPR Workshop</w:t>
            </w:r>
            <w:r w:rsidDel="00000000" w:rsidR="00000000" w:rsidRPr="00000000">
              <w:rPr>
                <w:color w:val="00b050"/>
                <w:sz w:val="20"/>
                <w:szCs w:val="20"/>
                <w:rtl w:val="0"/>
              </w:rPr>
              <w:t xml:space="preserve"> </w:t>
            </w:r>
            <w:r w:rsidDel="00000000" w:rsidR="00000000" w:rsidRPr="00000000">
              <w:rPr>
                <w:sz w:val="20"/>
                <w:szCs w:val="20"/>
                <w:rtl w:val="0"/>
              </w:rPr>
              <w:t xml:space="preserve">on Perception Beyond the Visible Spectrum (</w:t>
            </w:r>
            <w:r w:rsidDel="00000000" w:rsidR="00000000" w:rsidRPr="00000000">
              <w:rPr>
                <w:b w:val="1"/>
                <w:sz w:val="20"/>
                <w:szCs w:val="20"/>
                <w:rtl w:val="0"/>
              </w:rPr>
              <w:t xml:space="preserve">PBVS’2022</w:t>
            </w:r>
            <w:r w:rsidDel="00000000" w:rsidR="00000000" w:rsidRPr="00000000">
              <w:rPr>
                <w:sz w:val="20"/>
                <w:szCs w:val="20"/>
                <w:rtl w:val="0"/>
              </w:rPr>
              <w:t xml:space="preserve">) fosters connections between communities in the machine vision world ranging from public research institutes to private, defense, and federal laboratories. PBVS brings together academic pioneers, industrial and defense researchers and engineers in the field of computer vision, image analysis, pattern recognition, machine learning, signal processing, artificial intelligence, sensor exploitation, and HCI.</w:t>
            </w:r>
          </w:p>
          <w:p w:rsidR="00000000" w:rsidDel="00000000" w:rsidP="00000000" w:rsidRDefault="00000000" w:rsidRPr="00000000" w14:paraId="0000000B">
            <w:pPr>
              <w:spacing w:after="0" w:line="240" w:lineRule="auto"/>
              <w:jc w:val="both"/>
              <w:rPr>
                <w:sz w:val="6"/>
                <w:szCs w:val="6"/>
              </w:rPr>
            </w:pPr>
            <w:r w:rsidDel="00000000" w:rsidR="00000000" w:rsidRPr="00000000">
              <w:rPr>
                <w:rtl w:val="0"/>
              </w:rPr>
            </w:r>
          </w:p>
          <w:p w:rsidR="00000000" w:rsidDel="00000000" w:rsidP="00000000" w:rsidRDefault="00000000" w:rsidRPr="00000000" w14:paraId="0000000C">
            <w:pPr>
              <w:spacing w:after="0" w:line="240" w:lineRule="auto"/>
              <w:jc w:val="both"/>
              <w:rPr>
                <w:sz w:val="20"/>
                <w:szCs w:val="20"/>
                <w:highlight w:val="yellow"/>
              </w:rPr>
            </w:pPr>
            <w:r w:rsidDel="00000000" w:rsidR="00000000" w:rsidRPr="00000000">
              <w:rPr>
                <w:sz w:val="20"/>
                <w:szCs w:val="20"/>
                <w:highlight w:val="yellow"/>
                <w:rtl w:val="0"/>
              </w:rPr>
              <w:t xml:space="preserve">PBVS’2022 is accompanied by the following challenges: </w:t>
            </w:r>
            <w:r w:rsidDel="00000000" w:rsidR="00000000" w:rsidRPr="00000000">
              <w:rPr>
                <w:b w:val="1"/>
                <w:sz w:val="20"/>
                <w:szCs w:val="20"/>
                <w:highlight w:val="yellow"/>
                <w:rtl w:val="0"/>
              </w:rPr>
              <w:t xml:space="preserve">Thermal Image Super-Resolution Challenge (TISR’2022), Multi-modal Aerial View Object Classification Challenge (MAVOC), and Semi-Supervised Hyperspectral Object Detection Challenge (SSHODC)</w:t>
            </w:r>
            <w:r w:rsidDel="00000000" w:rsidR="00000000" w:rsidRPr="00000000">
              <w:rPr>
                <w:sz w:val="20"/>
                <w:szCs w:val="20"/>
                <w:highlight w:val="yellow"/>
                <w:rtl w:val="0"/>
              </w:rPr>
              <w:t xml:space="preserve">. For more information about the challenges, the datasets, the evaluation approaches and measures as well as the deadline for participation, please visit the workshop website.</w:t>
            </w:r>
          </w:p>
        </w:tc>
        <w:tc>
          <w:tcPr>
            <w:tcBorders>
              <w:bottom w:color="000000" w:space="0" w:sz="4" w:val="single"/>
            </w:tcBorders>
          </w:tcPr>
          <w:p w:rsidR="00000000" w:rsidDel="00000000" w:rsidP="00000000" w:rsidRDefault="00000000" w:rsidRPr="00000000" w14:paraId="0000000D">
            <w:pPr>
              <w:widowControl w:val="0"/>
              <w:spacing w:after="0" w:line="240" w:lineRule="auto"/>
              <w:jc w:val="center"/>
              <w:rPr>
                <w:b w:val="1"/>
                <w:sz w:val="2"/>
                <w:szCs w:val="2"/>
              </w:rPr>
            </w:pPr>
            <w:r w:rsidDel="00000000" w:rsidR="00000000" w:rsidRPr="00000000">
              <w:rPr>
                <w:rtl w:val="0"/>
              </w:rPr>
            </w:r>
          </w:p>
          <w:p w:rsidR="00000000" w:rsidDel="00000000" w:rsidP="00000000" w:rsidRDefault="00000000" w:rsidRPr="00000000" w14:paraId="0000000E">
            <w:pPr>
              <w:widowControl w:val="0"/>
              <w:spacing w:after="0" w:line="240" w:lineRule="auto"/>
              <w:jc w:val="center"/>
              <w:rPr>
                <w:b w:val="1"/>
                <w:color w:val="3c3d75"/>
                <w:sz w:val="24"/>
                <w:szCs w:val="24"/>
              </w:rPr>
            </w:pPr>
            <w:r w:rsidDel="00000000" w:rsidR="00000000" w:rsidRPr="00000000">
              <w:rPr>
                <w:b w:val="1"/>
                <w:color w:val="3c3d75"/>
                <w:sz w:val="24"/>
                <w:szCs w:val="24"/>
                <w:rtl w:val="0"/>
              </w:rPr>
              <w:t xml:space="preserve">Organizer and General Chair</w:t>
            </w:r>
          </w:p>
          <w:p w:rsidR="00000000" w:rsidDel="00000000" w:rsidP="00000000" w:rsidRDefault="00000000" w:rsidRPr="00000000" w14:paraId="0000000F">
            <w:pPr>
              <w:widowControl w:val="0"/>
              <w:spacing w:after="0" w:line="240" w:lineRule="auto"/>
              <w:jc w:val="center"/>
              <w:rPr>
                <w:color w:val="3c3d75"/>
                <w:sz w:val="2"/>
                <w:szCs w:val="2"/>
              </w:rPr>
            </w:pPr>
            <w:r w:rsidDel="00000000" w:rsidR="00000000" w:rsidRPr="00000000">
              <w:rPr>
                <w:rtl w:val="0"/>
              </w:rPr>
            </w:r>
          </w:p>
          <w:p w:rsidR="00000000" w:rsidDel="00000000" w:rsidP="00000000" w:rsidRDefault="00000000" w:rsidRPr="00000000" w14:paraId="00000010">
            <w:pPr>
              <w:widowControl w:val="0"/>
              <w:spacing w:after="0" w:line="240" w:lineRule="auto"/>
              <w:jc w:val="center"/>
              <w:rPr>
                <w:sz w:val="20"/>
                <w:szCs w:val="20"/>
              </w:rPr>
            </w:pPr>
            <w:r w:rsidDel="00000000" w:rsidR="00000000" w:rsidRPr="00000000">
              <w:rPr>
                <w:b w:val="1"/>
                <w:sz w:val="20"/>
                <w:szCs w:val="20"/>
                <w:rtl w:val="0"/>
              </w:rPr>
              <w:t xml:space="preserve">Riad I. Hammoud</w:t>
            </w:r>
            <w:r w:rsidDel="00000000" w:rsidR="00000000" w:rsidRPr="00000000">
              <w:rPr>
                <w:sz w:val="20"/>
                <w:szCs w:val="20"/>
                <w:rtl w:val="0"/>
              </w:rPr>
              <w:br w:type="textWrapping"/>
            </w:r>
            <w:r w:rsidDel="00000000" w:rsidR="00000000" w:rsidRPr="00000000">
              <w:rPr>
                <w:i w:val="1"/>
                <w:sz w:val="20"/>
                <w:szCs w:val="20"/>
                <w:rtl w:val="0"/>
              </w:rPr>
              <w:t xml:space="preserve">TuSimple, USA</w:t>
            </w:r>
            <w:r w:rsidDel="00000000" w:rsidR="00000000" w:rsidRPr="00000000">
              <w:rPr>
                <w:rtl w:val="0"/>
              </w:rPr>
            </w:r>
          </w:p>
          <w:p w:rsidR="00000000" w:rsidDel="00000000" w:rsidP="00000000" w:rsidRDefault="00000000" w:rsidRPr="00000000" w14:paraId="00000011">
            <w:pPr>
              <w:widowControl w:val="0"/>
              <w:spacing w:after="0" w:line="240" w:lineRule="auto"/>
              <w:jc w:val="center"/>
              <w:rPr>
                <w:i w:val="1"/>
                <w:color w:val="538135"/>
                <w:sz w:val="10"/>
                <w:szCs w:val="10"/>
                <w:u w:val="single"/>
              </w:rPr>
            </w:pPr>
            <w:r w:rsidDel="00000000" w:rsidR="00000000" w:rsidRPr="00000000">
              <w:rPr>
                <w:rtl w:val="0"/>
              </w:rPr>
            </w:r>
          </w:p>
          <w:p w:rsidR="00000000" w:rsidDel="00000000" w:rsidP="00000000" w:rsidRDefault="00000000" w:rsidRPr="00000000" w14:paraId="00000012">
            <w:pPr>
              <w:widowControl w:val="0"/>
              <w:spacing w:after="0" w:line="240" w:lineRule="auto"/>
              <w:jc w:val="center"/>
              <w:rPr>
                <w:b w:val="1"/>
                <w:color w:val="3c3d75"/>
                <w:sz w:val="24"/>
                <w:szCs w:val="24"/>
              </w:rPr>
            </w:pPr>
            <w:r w:rsidDel="00000000" w:rsidR="00000000" w:rsidRPr="00000000">
              <w:rPr>
                <w:b w:val="1"/>
                <w:color w:val="3c3d75"/>
                <w:sz w:val="24"/>
                <w:szCs w:val="24"/>
                <w:rtl w:val="0"/>
              </w:rPr>
              <w:t xml:space="preserve">Program Chairs</w:t>
            </w:r>
          </w:p>
          <w:p w:rsidR="00000000" w:rsidDel="00000000" w:rsidP="00000000" w:rsidRDefault="00000000" w:rsidRPr="00000000" w14:paraId="00000013">
            <w:pPr>
              <w:widowControl w:val="0"/>
              <w:spacing w:after="0" w:line="240" w:lineRule="auto"/>
              <w:jc w:val="center"/>
              <w:rPr>
                <w:color w:val="3c3d75"/>
                <w:sz w:val="2"/>
                <w:szCs w:val="2"/>
              </w:rPr>
            </w:pPr>
            <w:r w:rsidDel="00000000" w:rsidR="00000000" w:rsidRPr="00000000">
              <w:rPr>
                <w:rtl w:val="0"/>
              </w:rPr>
            </w:r>
          </w:p>
          <w:p w:rsidR="00000000" w:rsidDel="00000000" w:rsidP="00000000" w:rsidRDefault="00000000" w:rsidRPr="00000000" w14:paraId="00000014">
            <w:pPr>
              <w:widowControl w:val="0"/>
              <w:spacing w:after="0" w:line="240" w:lineRule="auto"/>
              <w:rPr>
                <w:b w:val="1"/>
                <w:sz w:val="20"/>
                <w:szCs w:val="20"/>
              </w:rPr>
            </w:pPr>
            <w:r w:rsidDel="00000000" w:rsidR="00000000" w:rsidRPr="00000000">
              <w:rPr>
                <w:b w:val="1"/>
                <w:sz w:val="20"/>
                <w:szCs w:val="20"/>
                <w:rtl w:val="0"/>
              </w:rPr>
              <w:t xml:space="preserve">  Michael Teutsch       Erhan Gundogdu</w:t>
            </w:r>
          </w:p>
          <w:p w:rsidR="00000000" w:rsidDel="00000000" w:rsidP="00000000" w:rsidRDefault="00000000" w:rsidRPr="00000000" w14:paraId="00000015">
            <w:pPr>
              <w:widowControl w:val="0"/>
              <w:spacing w:after="0" w:line="240" w:lineRule="auto"/>
              <w:rPr>
                <w:i w:val="1"/>
                <w:sz w:val="20"/>
                <w:szCs w:val="20"/>
              </w:rPr>
            </w:pPr>
            <w:r w:rsidDel="00000000" w:rsidR="00000000" w:rsidRPr="00000000">
              <w:rPr>
                <w:i w:val="1"/>
                <w:sz w:val="20"/>
                <w:szCs w:val="20"/>
                <w:rtl w:val="0"/>
              </w:rPr>
              <w:t xml:space="preserve">Hensoldt Optronics,           Amazon,</w:t>
              <w:br w:type="textWrapping"/>
              <w:t xml:space="preserve">         Germany                    Germany</w:t>
            </w:r>
          </w:p>
          <w:p w:rsidR="00000000" w:rsidDel="00000000" w:rsidP="00000000" w:rsidRDefault="00000000" w:rsidRPr="00000000" w14:paraId="00000016">
            <w:pPr>
              <w:widowControl w:val="0"/>
              <w:spacing w:after="0" w:line="240" w:lineRule="auto"/>
              <w:rPr>
                <w:i w:val="1"/>
                <w:sz w:val="10"/>
                <w:szCs w:val="10"/>
              </w:rPr>
            </w:pPr>
            <w:r w:rsidDel="00000000" w:rsidR="00000000" w:rsidRPr="00000000">
              <w:rPr>
                <w:rtl w:val="0"/>
              </w:rPr>
            </w:r>
          </w:p>
          <w:p w:rsidR="00000000" w:rsidDel="00000000" w:rsidP="00000000" w:rsidRDefault="00000000" w:rsidRPr="00000000" w14:paraId="00000017">
            <w:pPr>
              <w:widowControl w:val="0"/>
              <w:spacing w:after="0" w:line="240" w:lineRule="auto"/>
              <w:jc w:val="center"/>
              <w:rPr>
                <w:b w:val="1"/>
                <w:color w:val="3c3d75"/>
                <w:sz w:val="24"/>
                <w:szCs w:val="24"/>
              </w:rPr>
            </w:pPr>
            <w:r w:rsidDel="00000000" w:rsidR="00000000" w:rsidRPr="00000000">
              <w:rPr>
                <w:b w:val="1"/>
                <w:color w:val="3c3d75"/>
                <w:sz w:val="24"/>
                <w:szCs w:val="24"/>
                <w:rtl w:val="0"/>
              </w:rPr>
              <w:t xml:space="preserve">Challenge Chair</w:t>
            </w:r>
          </w:p>
          <w:p w:rsidR="00000000" w:rsidDel="00000000" w:rsidP="00000000" w:rsidRDefault="00000000" w:rsidRPr="00000000" w14:paraId="00000018">
            <w:pPr>
              <w:widowControl w:val="0"/>
              <w:spacing w:after="0" w:line="240" w:lineRule="auto"/>
              <w:jc w:val="center"/>
              <w:rPr>
                <w:sz w:val="2"/>
                <w:szCs w:val="2"/>
              </w:rPr>
            </w:pPr>
            <w:r w:rsidDel="00000000" w:rsidR="00000000" w:rsidRPr="00000000">
              <w:rPr>
                <w:rtl w:val="0"/>
              </w:rPr>
            </w:r>
          </w:p>
          <w:p w:rsidR="00000000" w:rsidDel="00000000" w:rsidP="00000000" w:rsidRDefault="00000000" w:rsidRPr="00000000" w14:paraId="00000019">
            <w:pPr>
              <w:widowControl w:val="0"/>
              <w:spacing w:after="0" w:line="240" w:lineRule="auto"/>
              <w:jc w:val="center"/>
              <w:rPr>
                <w:b w:val="1"/>
                <w:sz w:val="20"/>
                <w:szCs w:val="20"/>
              </w:rPr>
            </w:pPr>
            <w:r w:rsidDel="00000000" w:rsidR="00000000" w:rsidRPr="00000000">
              <w:rPr>
                <w:b w:val="1"/>
                <w:sz w:val="20"/>
                <w:szCs w:val="20"/>
                <w:rtl w:val="0"/>
              </w:rPr>
              <w:t xml:space="preserve">Angel D. Sappa</w:t>
            </w:r>
          </w:p>
          <w:p w:rsidR="00000000" w:rsidDel="00000000" w:rsidP="00000000" w:rsidRDefault="00000000" w:rsidRPr="00000000" w14:paraId="0000001A">
            <w:pPr>
              <w:widowControl w:val="0"/>
              <w:spacing w:after="0" w:line="240" w:lineRule="auto"/>
              <w:jc w:val="center"/>
              <w:rPr>
                <w:i w:val="1"/>
                <w:sz w:val="19"/>
                <w:szCs w:val="19"/>
              </w:rPr>
            </w:pPr>
            <w:r w:rsidDel="00000000" w:rsidR="00000000" w:rsidRPr="00000000">
              <w:rPr>
                <w:i w:val="1"/>
                <w:sz w:val="20"/>
                <w:szCs w:val="20"/>
                <w:rtl w:val="0"/>
              </w:rPr>
              <w:t xml:space="preserve">CVC, Spain; </w:t>
            </w:r>
            <w:r w:rsidDel="00000000" w:rsidR="00000000" w:rsidRPr="00000000">
              <w:rPr>
                <w:i w:val="1"/>
                <w:sz w:val="19"/>
                <w:szCs w:val="19"/>
                <w:rtl w:val="0"/>
              </w:rPr>
              <w:t xml:space="preserve">ESPOL Univ., Ecuador</w:t>
            </w:r>
          </w:p>
          <w:p w:rsidR="00000000" w:rsidDel="00000000" w:rsidP="00000000" w:rsidRDefault="00000000" w:rsidRPr="00000000" w14:paraId="0000001B">
            <w:pPr>
              <w:widowControl w:val="0"/>
              <w:spacing w:after="0" w:line="240" w:lineRule="auto"/>
              <w:jc w:val="center"/>
              <w:rPr>
                <w:color w:val="538135"/>
                <w:sz w:val="10"/>
                <w:szCs w:val="10"/>
                <w:u w:val="single"/>
              </w:rPr>
            </w:pPr>
            <w:r w:rsidDel="00000000" w:rsidR="00000000" w:rsidRPr="00000000">
              <w:rPr>
                <w:rtl w:val="0"/>
              </w:rPr>
            </w:r>
          </w:p>
          <w:p w:rsidR="00000000" w:rsidDel="00000000" w:rsidP="00000000" w:rsidRDefault="00000000" w:rsidRPr="00000000" w14:paraId="0000001C">
            <w:pPr>
              <w:widowControl w:val="0"/>
              <w:spacing w:after="0" w:line="240" w:lineRule="auto"/>
              <w:jc w:val="center"/>
              <w:rPr>
                <w:b w:val="1"/>
                <w:color w:val="3c3d75"/>
                <w:sz w:val="24"/>
                <w:szCs w:val="24"/>
              </w:rPr>
            </w:pPr>
            <w:r w:rsidDel="00000000" w:rsidR="00000000" w:rsidRPr="00000000">
              <w:rPr>
                <w:b w:val="1"/>
                <w:color w:val="3c3d75"/>
                <w:sz w:val="24"/>
                <w:szCs w:val="24"/>
                <w:rtl w:val="0"/>
              </w:rPr>
              <w:t xml:space="preserve">Publication Chair</w:t>
            </w:r>
          </w:p>
          <w:p w:rsidR="00000000" w:rsidDel="00000000" w:rsidP="00000000" w:rsidRDefault="00000000" w:rsidRPr="00000000" w14:paraId="0000001D">
            <w:pPr>
              <w:widowControl w:val="0"/>
              <w:spacing w:after="0" w:line="240" w:lineRule="auto"/>
              <w:jc w:val="center"/>
              <w:rPr>
                <w:color w:val="538135"/>
                <w:sz w:val="2"/>
                <w:szCs w:val="2"/>
                <w:u w:val="single"/>
              </w:rPr>
            </w:pPr>
            <w:r w:rsidDel="00000000" w:rsidR="00000000" w:rsidRPr="00000000">
              <w:rPr>
                <w:rtl w:val="0"/>
              </w:rPr>
            </w:r>
          </w:p>
          <w:p w:rsidR="00000000" w:rsidDel="00000000" w:rsidP="00000000" w:rsidRDefault="00000000" w:rsidRPr="00000000" w14:paraId="0000001E">
            <w:pPr>
              <w:widowControl w:val="0"/>
              <w:spacing w:after="0" w:line="240" w:lineRule="auto"/>
              <w:jc w:val="center"/>
              <w:rPr>
                <w:b w:val="1"/>
                <w:sz w:val="20"/>
                <w:szCs w:val="20"/>
              </w:rPr>
            </w:pPr>
            <w:r w:rsidDel="00000000" w:rsidR="00000000" w:rsidRPr="00000000">
              <w:rPr>
                <w:b w:val="1"/>
                <w:sz w:val="20"/>
                <w:szCs w:val="20"/>
                <w:rtl w:val="0"/>
              </w:rPr>
              <w:t xml:space="preserve">Yi Ding</w:t>
            </w:r>
          </w:p>
          <w:p w:rsidR="00000000" w:rsidDel="00000000" w:rsidP="00000000" w:rsidRDefault="00000000" w:rsidRPr="00000000" w14:paraId="0000001F">
            <w:pPr>
              <w:widowControl w:val="0"/>
              <w:spacing w:after="0" w:line="240" w:lineRule="auto"/>
              <w:jc w:val="center"/>
              <w:rPr>
                <w:i w:val="1"/>
                <w:sz w:val="20"/>
                <w:szCs w:val="20"/>
              </w:rPr>
            </w:pPr>
            <w:r w:rsidDel="00000000" w:rsidR="00000000" w:rsidRPr="00000000">
              <w:rPr>
                <w:i w:val="1"/>
                <w:sz w:val="20"/>
                <w:szCs w:val="20"/>
                <w:rtl w:val="0"/>
              </w:rPr>
              <w:t xml:space="preserve">Thales Group, USA</w:t>
            </w:r>
          </w:p>
          <w:p w:rsidR="00000000" w:rsidDel="00000000" w:rsidP="00000000" w:rsidRDefault="00000000" w:rsidRPr="00000000" w14:paraId="00000020">
            <w:pPr>
              <w:widowControl w:val="0"/>
              <w:spacing w:after="0" w:line="240" w:lineRule="auto"/>
              <w:jc w:val="center"/>
              <w:rPr>
                <w:i w:val="1"/>
                <w:sz w:val="10"/>
                <w:szCs w:val="10"/>
              </w:rPr>
            </w:pPr>
            <w:r w:rsidDel="00000000" w:rsidR="00000000" w:rsidRPr="00000000">
              <w:rPr>
                <w:rtl w:val="0"/>
              </w:rPr>
            </w:r>
          </w:p>
          <w:p w:rsidR="00000000" w:rsidDel="00000000" w:rsidP="00000000" w:rsidRDefault="00000000" w:rsidRPr="00000000" w14:paraId="00000021">
            <w:pPr>
              <w:widowControl w:val="0"/>
              <w:spacing w:after="0" w:line="240" w:lineRule="auto"/>
              <w:jc w:val="center"/>
              <w:rPr>
                <w:b w:val="1"/>
                <w:color w:val="3c3d75"/>
                <w:sz w:val="24"/>
                <w:szCs w:val="24"/>
              </w:rPr>
            </w:pPr>
            <w:r w:rsidDel="00000000" w:rsidR="00000000" w:rsidRPr="00000000">
              <w:rPr>
                <w:b w:val="1"/>
                <w:color w:val="3c3d75"/>
                <w:sz w:val="24"/>
                <w:szCs w:val="24"/>
                <w:rtl w:val="0"/>
              </w:rPr>
              <w:t xml:space="preserve">Honorary Chair</w:t>
            </w:r>
          </w:p>
          <w:p w:rsidR="00000000" w:rsidDel="00000000" w:rsidP="00000000" w:rsidRDefault="00000000" w:rsidRPr="00000000" w14:paraId="00000022">
            <w:pPr>
              <w:widowControl w:val="0"/>
              <w:spacing w:after="0" w:line="240" w:lineRule="auto"/>
              <w:jc w:val="center"/>
              <w:rPr>
                <w:color w:val="538135"/>
                <w:sz w:val="2"/>
                <w:szCs w:val="2"/>
                <w:u w:val="single"/>
              </w:rPr>
            </w:pPr>
            <w:r w:rsidDel="00000000" w:rsidR="00000000" w:rsidRPr="00000000">
              <w:rPr>
                <w:rtl w:val="0"/>
              </w:rPr>
            </w:r>
          </w:p>
          <w:p w:rsidR="00000000" w:rsidDel="00000000" w:rsidP="00000000" w:rsidRDefault="00000000" w:rsidRPr="00000000" w14:paraId="00000023">
            <w:pPr>
              <w:widowControl w:val="0"/>
              <w:spacing w:after="0" w:line="240" w:lineRule="auto"/>
              <w:jc w:val="center"/>
              <w:rPr>
                <w:b w:val="1"/>
                <w:sz w:val="20"/>
                <w:szCs w:val="20"/>
              </w:rPr>
            </w:pPr>
            <w:r w:rsidDel="00000000" w:rsidR="00000000" w:rsidRPr="00000000">
              <w:rPr>
                <w:b w:val="1"/>
                <w:sz w:val="20"/>
                <w:szCs w:val="20"/>
                <w:rtl w:val="0"/>
              </w:rPr>
              <w:t xml:space="preserve">Erik Blasch</w:t>
            </w:r>
          </w:p>
          <w:p w:rsidR="00000000" w:rsidDel="00000000" w:rsidP="00000000" w:rsidRDefault="00000000" w:rsidRPr="00000000" w14:paraId="00000024">
            <w:pPr>
              <w:widowControl w:val="0"/>
              <w:spacing w:after="0" w:line="240" w:lineRule="auto"/>
              <w:jc w:val="center"/>
              <w:rPr>
                <w:i w:val="1"/>
                <w:sz w:val="20"/>
                <w:szCs w:val="20"/>
              </w:rPr>
            </w:pPr>
            <w:r w:rsidDel="00000000" w:rsidR="00000000" w:rsidRPr="00000000">
              <w:rPr>
                <w:i w:val="1"/>
                <w:sz w:val="20"/>
                <w:szCs w:val="20"/>
                <w:rtl w:val="0"/>
              </w:rPr>
              <w:t xml:space="preserve">Air Force Research Lab, USA</w:t>
            </w:r>
          </w:p>
          <w:p w:rsidR="00000000" w:rsidDel="00000000" w:rsidP="00000000" w:rsidRDefault="00000000" w:rsidRPr="00000000" w14:paraId="00000025">
            <w:pPr>
              <w:widowControl w:val="0"/>
              <w:spacing w:after="0" w:line="240" w:lineRule="auto"/>
              <w:rPr>
                <w:sz w:val="2"/>
                <w:szCs w:val="2"/>
              </w:rPr>
            </w:pPr>
            <w:r w:rsidDel="00000000" w:rsidR="00000000" w:rsidRPr="00000000">
              <w:rPr>
                <w:sz w:val="14"/>
                <w:szCs w:val="14"/>
                <w:rtl w:val="0"/>
              </w:rPr>
              <w:t xml:space="preserve"> </w:t>
            </w:r>
            <w:r w:rsidDel="00000000" w:rsidR="00000000" w:rsidRPr="00000000">
              <w:rPr>
                <w:sz w:val="2"/>
                <w:szCs w:val="2"/>
                <w:rtl w:val="0"/>
              </w:rPr>
              <w:t xml:space="preserve"> </w:t>
            </w:r>
          </w:p>
          <w:p w:rsidR="00000000" w:rsidDel="00000000" w:rsidP="00000000" w:rsidRDefault="00000000" w:rsidRPr="00000000" w14:paraId="00000026">
            <w:pPr>
              <w:widowControl w:val="0"/>
              <w:spacing w:after="0" w:line="240" w:lineRule="auto"/>
              <w:jc w:val="center"/>
              <w:rPr>
                <w:b w:val="1"/>
                <w:color w:val="3c3d75"/>
                <w:sz w:val="8"/>
                <w:szCs w:val="8"/>
              </w:rPr>
            </w:pPr>
            <w:r w:rsidDel="00000000" w:rsidR="00000000" w:rsidRPr="00000000">
              <w:rPr>
                <w:rtl w:val="0"/>
              </w:rPr>
            </w:r>
          </w:p>
          <w:p w:rsidR="00000000" w:rsidDel="00000000" w:rsidP="00000000" w:rsidRDefault="00000000" w:rsidRPr="00000000" w14:paraId="00000027">
            <w:pPr>
              <w:widowControl w:val="0"/>
              <w:spacing w:after="0" w:line="240" w:lineRule="auto"/>
              <w:jc w:val="center"/>
              <w:rPr>
                <w:b w:val="1"/>
                <w:color w:val="3c3d75"/>
                <w:sz w:val="26"/>
                <w:szCs w:val="26"/>
              </w:rPr>
            </w:pPr>
            <w:r w:rsidDel="00000000" w:rsidR="00000000" w:rsidRPr="00000000">
              <w:rPr>
                <w:b w:val="1"/>
                <w:color w:val="3c3d75"/>
                <w:sz w:val="26"/>
                <w:szCs w:val="26"/>
                <w:rtl w:val="0"/>
              </w:rPr>
              <w:t xml:space="preserve">Keynote Speakers</w:t>
            </w:r>
          </w:p>
          <w:p w:rsidR="00000000" w:rsidDel="00000000" w:rsidP="00000000" w:rsidRDefault="00000000" w:rsidRPr="00000000" w14:paraId="00000028">
            <w:pPr>
              <w:widowControl w:val="0"/>
              <w:spacing w:after="0" w:line="240" w:lineRule="auto"/>
              <w:jc w:val="center"/>
              <w:rPr>
                <w:b w:val="1"/>
                <w:sz w:val="2"/>
                <w:szCs w:val="2"/>
              </w:rPr>
            </w:pPr>
            <w:r w:rsidDel="00000000" w:rsidR="00000000" w:rsidRPr="00000000">
              <w:rPr>
                <w:rtl w:val="0"/>
              </w:rPr>
            </w:r>
          </w:p>
          <w:p w:rsidR="00000000" w:rsidDel="00000000" w:rsidP="00000000" w:rsidRDefault="00000000" w:rsidRPr="00000000" w14:paraId="00000029">
            <w:pPr>
              <w:widowControl w:val="0"/>
              <w:spacing w:after="0" w:line="240" w:lineRule="auto"/>
              <w:jc w:val="center"/>
              <w:rPr>
                <w:b w:val="1"/>
                <w:sz w:val="20"/>
                <w:szCs w:val="20"/>
              </w:rPr>
            </w:pPr>
            <w:r w:rsidDel="00000000" w:rsidR="00000000" w:rsidRPr="00000000">
              <w:rPr>
                <w:rtl w:val="0"/>
              </w:rPr>
            </w:r>
          </w:p>
          <w:p w:rsidR="00000000" w:rsidDel="00000000" w:rsidP="00000000" w:rsidRDefault="00000000" w:rsidRPr="00000000" w14:paraId="0000002A">
            <w:pPr>
              <w:widowControl w:val="0"/>
              <w:spacing w:after="0" w:line="240" w:lineRule="auto"/>
              <w:jc w:val="center"/>
              <w:rPr>
                <w:b w:val="1"/>
                <w:sz w:val="20"/>
                <w:szCs w:val="20"/>
              </w:rPr>
            </w:pPr>
            <w:r w:rsidDel="00000000" w:rsidR="00000000" w:rsidRPr="00000000">
              <w:rPr>
                <w:rtl w:val="0"/>
              </w:rPr>
            </w:r>
          </w:p>
          <w:p w:rsidR="00000000" w:rsidDel="00000000" w:rsidP="00000000" w:rsidRDefault="00000000" w:rsidRPr="00000000" w14:paraId="0000002B">
            <w:pPr>
              <w:widowControl w:val="0"/>
              <w:spacing w:after="0" w:line="240" w:lineRule="auto"/>
              <w:jc w:val="center"/>
              <w:rPr>
                <w:i w:val="1"/>
                <w:sz w:val="20"/>
                <w:szCs w:val="20"/>
              </w:rPr>
            </w:pPr>
            <w:r w:rsidDel="00000000" w:rsidR="00000000" w:rsidRPr="00000000">
              <w:rPr>
                <w:b w:val="1"/>
                <w:sz w:val="20"/>
                <w:szCs w:val="20"/>
                <w:rtl w:val="0"/>
              </w:rPr>
              <w:t xml:space="preserve">tba</w:t>
            </w:r>
            <w:r w:rsidDel="00000000" w:rsidR="00000000" w:rsidRPr="00000000">
              <w:rPr>
                <w:rtl w:val="0"/>
              </w:rPr>
            </w:r>
          </w:p>
        </w:tc>
      </w:tr>
      <w:tr>
        <w:trPr>
          <w:cantSplit w:val="0"/>
          <w:trHeight w:val="1253" w:hRule="atLeast"/>
          <w:tblHeader w:val="0"/>
        </w:trPr>
        <w:tc>
          <w:tcPr>
            <w:vMerge w:val="continue"/>
            <w:tcBorders>
              <w:bottom w:color="000000" w:space="0" w:sz="4"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2D">
            <w:pPr>
              <w:spacing w:after="0" w:line="240" w:lineRule="auto"/>
              <w:jc w:val="center"/>
              <w:rPr>
                <w:b w:val="1"/>
                <w:color w:val="3c3d75"/>
                <w:sz w:val="26"/>
                <w:szCs w:val="26"/>
              </w:rPr>
            </w:pPr>
            <w:r w:rsidDel="00000000" w:rsidR="00000000" w:rsidRPr="00000000">
              <w:rPr>
                <w:b w:val="1"/>
                <w:color w:val="3c3d75"/>
                <w:sz w:val="26"/>
                <w:szCs w:val="26"/>
                <w:rtl w:val="0"/>
              </w:rPr>
              <w:t xml:space="preserve">Important Dates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562"/>
              </w:tabs>
              <w:spacing w:after="0" w:before="0" w:line="240" w:lineRule="auto"/>
              <w:ind w:left="166" w:right="0" w:hanging="166"/>
              <w:jc w:val="left"/>
              <w:rPr>
                <w:rFonts w:ascii="Calibri" w:cs="Calibri" w:eastAsia="Calibri" w:hAnsi="Calibri"/>
                <w:b w:val="1"/>
                <w:i w:val="0"/>
                <w:smallCaps w:val="0"/>
                <w:strike w:val="0"/>
                <w:color w:val="ff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0000"/>
                <w:sz w:val="20"/>
                <w:szCs w:val="20"/>
                <w:u w:val="none"/>
                <w:shd w:fill="auto" w:val="clear"/>
                <w:vertAlign w:val="baseline"/>
                <w:rtl w:val="0"/>
              </w:rPr>
              <w:t xml:space="preserve">Submission:   </w:t>
              <w:tab/>
              <w:t xml:space="preserve">March 11, 2022</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562"/>
              </w:tabs>
              <w:spacing w:after="0" w:before="0" w:line="240" w:lineRule="auto"/>
              <w:ind w:left="166" w:right="0" w:hanging="166"/>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Notification:   </w:t>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March 30, 2022</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562"/>
              </w:tabs>
              <w:spacing w:after="0" w:before="0" w:line="240" w:lineRule="auto"/>
              <w:ind w:left="166" w:right="0" w:hanging="166"/>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Camera ready:  </w:t>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April 5, 2022</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562"/>
              </w:tabs>
              <w:spacing w:after="0" w:before="0" w:line="240" w:lineRule="auto"/>
              <w:ind w:left="166" w:right="0" w:hanging="166"/>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Workshop day:  </w:t>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tba</w:t>
            </w:r>
            <w:r w:rsidDel="00000000" w:rsidR="00000000" w:rsidRPr="00000000">
              <w:rPr>
                <w:rtl w:val="0"/>
              </w:rPr>
            </w:r>
          </w:p>
        </w:tc>
      </w:tr>
      <w:tr>
        <w:trPr>
          <w:cantSplit w:val="0"/>
          <w:trHeight w:val="245" w:hRule="atLeast"/>
          <w:tblHeader w:val="0"/>
        </w:trPr>
        <w:tc>
          <w:tcPr>
            <w:gridSpan w:val="2"/>
            <w:tcBorders>
              <w:bottom w:color="000000" w:space="0" w:sz="0" w:val="nil"/>
            </w:tcBorders>
          </w:tcPr>
          <w:p w:rsidR="00000000" w:rsidDel="00000000" w:rsidP="00000000" w:rsidRDefault="00000000" w:rsidRPr="00000000" w14:paraId="00000032">
            <w:pPr>
              <w:spacing w:after="0" w:lineRule="auto"/>
              <w:jc w:val="center"/>
              <w:rPr>
                <w:rFonts w:ascii="Neuropol X Free" w:cs="Neuropol X Free" w:eastAsia="Neuropol X Free" w:hAnsi="Neuropol X Free"/>
                <w:b w:val="1"/>
                <w:color w:val="3c3d75"/>
                <w:sz w:val="28"/>
                <w:szCs w:val="28"/>
              </w:rPr>
            </w:pPr>
            <w:r w:rsidDel="00000000" w:rsidR="00000000" w:rsidRPr="00000000">
              <w:rPr>
                <w:rFonts w:ascii="Neuropol X Free" w:cs="Neuropol X Free" w:eastAsia="Neuropol X Free" w:hAnsi="Neuropol X Free"/>
                <w:b w:val="1"/>
                <w:color w:val="3c3d75"/>
                <w:sz w:val="28"/>
                <w:szCs w:val="28"/>
                <w:rtl w:val="0"/>
              </w:rPr>
              <w:t xml:space="preserve">Topics of Interest</w:t>
            </w:r>
          </w:p>
          <w:p w:rsidR="00000000" w:rsidDel="00000000" w:rsidP="00000000" w:rsidRDefault="00000000" w:rsidRPr="00000000" w14:paraId="00000033">
            <w:pPr>
              <w:spacing w:after="0" w:lineRule="auto"/>
              <w:jc w:val="center"/>
              <w:rPr>
                <w:rFonts w:ascii="Neuropol X Free" w:cs="Neuropol X Free" w:eastAsia="Neuropol X Free" w:hAnsi="Neuropol X Free"/>
                <w:b w:val="1"/>
                <w:color w:val="3c3d75"/>
                <w:sz w:val="4"/>
                <w:szCs w:val="4"/>
              </w:rPr>
            </w:pPr>
            <w:r w:rsidDel="00000000" w:rsidR="00000000" w:rsidRPr="00000000">
              <w:rPr>
                <w:rtl w:val="0"/>
              </w:rPr>
            </w:r>
          </w:p>
        </w:tc>
      </w:tr>
      <w:tr>
        <w:trPr>
          <w:cantSplit w:val="0"/>
          <w:trHeight w:val="2546" w:hRule="atLeast"/>
          <w:tblHeader w:val="0"/>
        </w:trPr>
        <w:tc>
          <w:tcPr>
            <w:gridSpan w:val="2"/>
            <w:tcBorders>
              <w:top w:color="000000" w:space="0" w:sz="0" w:val="nil"/>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europol X Free" w:cs="Neuropol X Free" w:eastAsia="Neuropol X Free" w:hAnsi="Neuropol X Free"/>
                <w:b w:val="1"/>
                <w:color w:val="3c3d75"/>
                <w:sz w:val="4"/>
                <w:szCs w:val="4"/>
              </w:rPr>
            </w:pPr>
            <w:r w:rsidDel="00000000" w:rsidR="00000000" w:rsidRPr="00000000">
              <w:rPr>
                <w:rtl w:val="0"/>
              </w:rPr>
            </w:r>
          </w:p>
          <w:tbl>
            <w:tblPr>
              <w:tblStyle w:val="Table2"/>
              <w:tblW w:w="1205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38"/>
              <w:gridCol w:w="3827"/>
              <w:gridCol w:w="4394"/>
              <w:tblGridChange w:id="0">
                <w:tblGrid>
                  <w:gridCol w:w="3838"/>
                  <w:gridCol w:w="3827"/>
                  <w:gridCol w:w="4394"/>
                </w:tblGrid>
              </w:tblGridChange>
            </w:tblGrid>
            <w:tr>
              <w:trPr>
                <w:cantSplit w:val="0"/>
                <w:trHeight w:val="2404" w:hRule="atLeast"/>
                <w:tblHeader w:val="0"/>
              </w:trPr>
              <w:tc>
                <w:tcPr>
                  <w:shd w:fill="auto" w:val="clear"/>
                </w:tcPr>
                <w:bookmarkStart w:colFirst="0" w:colLast="0" w:name="bookmark=id.30j0zll" w:id="0"/>
                <w:bookmarkEnd w:id="0"/>
                <w:bookmarkStart w:colFirst="0" w:colLast="0" w:name="bookmark=id.gjdgxs" w:id="1"/>
                <w:bookmarkEnd w:id="1"/>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Sensing/Imaging Technologies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 w:right="0" w:firstLine="0"/>
                    <w:jc w:val="left"/>
                    <w:rPr>
                      <w:rFonts w:ascii="Calibri" w:cs="Calibri" w:eastAsia="Calibri" w:hAnsi="Calibri"/>
                      <w:b w:val="1"/>
                      <w:i w:val="1"/>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09" w:right="0" w:hanging="283.00000000000006"/>
                    <w:jc w:val="both"/>
                    <w:rPr>
                      <w:rFonts w:ascii="Calibri" w:cs="Calibri" w:eastAsia="Calibri" w:hAnsi="Calibri"/>
                      <w:b w:val="1"/>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IR/EO/RGBD imaging systems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09" w:right="0" w:hanging="283.00000000000006"/>
                    <w:jc w:val="both"/>
                    <w:rPr>
                      <w:rFonts w:ascii="Calibri" w:cs="Calibri" w:eastAsia="Calibri" w:hAnsi="Calibri"/>
                      <w:b w:val="1"/>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Underwater sensing</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09" w:right="0" w:hanging="283.00000000000006"/>
                    <w:jc w:val="both"/>
                    <w:rPr>
                      <w:rFonts w:ascii="Calibri" w:cs="Calibri" w:eastAsia="Calibri" w:hAnsi="Calibri"/>
                      <w:b w:val="1"/>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Multi-spectral/Satellite imaging</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09" w:right="0" w:hanging="283.00000000000006"/>
                    <w:jc w:val="both"/>
                    <w:rPr>
                      <w:rFonts w:ascii="Calibri" w:cs="Calibri" w:eastAsia="Calibri" w:hAnsi="Calibri"/>
                      <w:b w:val="1"/>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Spectroscopy/Microscopy imaging</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09" w:right="0" w:hanging="283.00000000000006"/>
                    <w:jc w:val="both"/>
                    <w:rPr>
                      <w:rFonts w:ascii="Calibri" w:cs="Calibri" w:eastAsia="Calibri" w:hAnsi="Calibri"/>
                      <w:b w:val="1"/>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LIDAR/LDV sensing</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09" w:right="0" w:hanging="283.00000000000006"/>
                    <w:jc w:val="both"/>
                    <w:rPr>
                      <w:rFonts w:ascii="Calibri" w:cs="Calibri" w:eastAsia="Calibri" w:hAnsi="Calibri"/>
                      <w:b w:val="1"/>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Compressive sensing</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09" w:right="0" w:hanging="283.00000000000006"/>
                    <w:jc w:val="both"/>
                    <w:rPr>
                      <w:rFonts w:ascii="Calibri" w:cs="Calibri" w:eastAsia="Calibri" w:hAnsi="Calibri"/>
                      <w:b w:val="1"/>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RADAR/SAR imaging</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09" w:right="0" w:hanging="283.00000000000006"/>
                    <w:jc w:val="both"/>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Radiation sensing </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09" w:right="0" w:hanging="283.00000000000006"/>
                    <w:jc w:val="both"/>
                    <w:rPr>
                      <w:rFonts w:ascii="Calibri" w:cs="Calibri" w:eastAsia="Calibri" w:hAnsi="Calibri"/>
                      <w:b w:val="1"/>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Active Imaging; Cooperative Sensing</w:t>
                  </w:r>
                  <w:r w:rsidDel="00000000" w:rsidR="00000000" w:rsidRPr="00000000">
                    <w:rPr>
                      <w:rFonts w:ascii="Calibri" w:cs="Calibri" w:eastAsia="Calibri" w:hAnsi="Calibri"/>
                      <w:b w:val="1"/>
                      <w:i w:val="1"/>
                      <w:smallCaps w:val="0"/>
                      <w:strike w:val="0"/>
                      <w:color w:val="000000"/>
                      <w:sz w:val="18"/>
                      <w:szCs w:val="18"/>
                      <w:highlight w:val="white"/>
                      <w:u w:val="none"/>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Applications &amp; Systems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 w:right="0" w:firstLine="0"/>
                    <w:jc w:val="left"/>
                    <w:rPr>
                      <w:rFonts w:ascii="Calibri" w:cs="Calibri" w:eastAsia="Calibri" w:hAnsi="Calibri"/>
                      <w:b w:val="1"/>
                      <w:i w:val="1"/>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66" w:right="0" w:hanging="283"/>
                    <w:jc w:val="left"/>
                    <w:rPr>
                      <w:rFonts w:ascii="Calibri" w:cs="Calibri" w:eastAsia="Calibri" w:hAnsi="Calibri"/>
                      <w:b w:val="1"/>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Surveillance and reconnaissance systems</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66" w:right="0" w:hanging="283"/>
                    <w:jc w:val="left"/>
                    <w:rPr>
                      <w:rFonts w:ascii="Calibri" w:cs="Calibri" w:eastAsia="Calibri" w:hAnsi="Calibri"/>
                      <w:b w:val="1"/>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Unmanned autonomous Systems</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66" w:right="0" w:hanging="283"/>
                    <w:jc w:val="left"/>
                    <w:rPr>
                      <w:rFonts w:ascii="Calibri" w:cs="Calibri" w:eastAsia="Calibri" w:hAnsi="Calibri"/>
                      <w:b w:val="1"/>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Vehicle, Ship, object classification</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66" w:right="0" w:hanging="283"/>
                    <w:jc w:val="left"/>
                    <w:rPr>
                      <w:rFonts w:ascii="Calibri" w:cs="Calibri" w:eastAsia="Calibri" w:hAnsi="Calibri"/>
                      <w:b w:val="1"/>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Robotic grasping</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66" w:right="0" w:hanging="283"/>
                    <w:jc w:val="left"/>
                    <w:rPr>
                      <w:rFonts w:ascii="Calibri" w:cs="Calibri" w:eastAsia="Calibri" w:hAnsi="Calibri"/>
                      <w:b w:val="1"/>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Vision-aided navigation and SLAM</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66" w:right="0" w:hanging="283"/>
                    <w:jc w:val="left"/>
                    <w:rPr>
                      <w:rFonts w:ascii="Calibri" w:cs="Calibri" w:eastAsia="Calibri" w:hAnsi="Calibri"/>
                      <w:b w:val="1"/>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Night/Shadow vision</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66" w:right="0" w:hanging="283"/>
                    <w:jc w:val="left"/>
                    <w:rPr>
                      <w:rFonts w:ascii="Calibri" w:cs="Calibri" w:eastAsia="Calibri" w:hAnsi="Calibri"/>
                      <w:b w:val="1"/>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Sensing for agriculture and food safety </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66" w:right="0" w:hanging="283"/>
                    <w:jc w:val="left"/>
                    <w:rPr>
                      <w:rFonts w:ascii="Calibri" w:cs="Calibri" w:eastAsia="Calibri" w:hAnsi="Calibri"/>
                      <w:b w:val="1"/>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Vision-based autonomous aerial vehicles</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66" w:right="0" w:hanging="283"/>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Lifelong &amp; Robust Machine Learning</w:t>
                  </w:r>
                  <w:r w:rsidDel="00000000" w:rsidR="00000000" w:rsidRPr="00000000">
                    <w:rPr>
                      <w:rtl w:val="0"/>
                    </w:rPr>
                  </w:r>
                </w:p>
              </w:tc>
              <w:tc>
                <w:tcPr>
                  <w:shd w:fill="auto" w:val="cle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Theory and Algorithms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 w:right="0" w:firstLine="0"/>
                    <w:jc w:val="left"/>
                    <w:rPr>
                      <w:rFonts w:ascii="Calibri" w:cs="Calibri" w:eastAsia="Calibri" w:hAnsi="Calibri"/>
                      <w:b w:val="1"/>
                      <w:i w:val="1"/>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70" w:right="0" w:hanging="283"/>
                    <w:jc w:val="left"/>
                    <w:rPr>
                      <w:rFonts w:ascii="Calibri" w:cs="Calibri" w:eastAsia="Calibri" w:hAnsi="Calibri"/>
                      <w:b w:val="1"/>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Deep Learning, Reinforcement Learning</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70" w:right="0" w:hanging="283"/>
                    <w:jc w:val="left"/>
                    <w:rPr>
                      <w:rFonts w:ascii="Calibri" w:cs="Calibri" w:eastAsia="Calibri" w:hAnsi="Calibri"/>
                      <w:b w:val="1"/>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Imagery / Video exploitation</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70" w:right="0" w:hanging="283"/>
                    <w:jc w:val="left"/>
                    <w:rPr>
                      <w:rFonts w:ascii="Calibri" w:cs="Calibri" w:eastAsia="Calibri" w:hAnsi="Calibri"/>
                      <w:b w:val="1"/>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Object / Target tracking and recognition</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70" w:right="0" w:hanging="283"/>
                    <w:jc w:val="left"/>
                    <w:rPr>
                      <w:rFonts w:ascii="Calibri" w:cs="Calibri" w:eastAsia="Calibri" w:hAnsi="Calibri"/>
                      <w:b w:val="1"/>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Feature extraction and matching</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70" w:right="0" w:hanging="283"/>
                    <w:jc w:val="left"/>
                    <w:rPr>
                      <w:rFonts w:ascii="Calibri" w:cs="Calibri" w:eastAsia="Calibri" w:hAnsi="Calibri"/>
                      <w:b w:val="1"/>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Activity / Pattern learning and recognition</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70" w:right="0" w:hanging="283"/>
                    <w:jc w:val="left"/>
                    <w:rPr>
                      <w:rFonts w:ascii="Calibri" w:cs="Calibri" w:eastAsia="Calibri" w:hAnsi="Calibri"/>
                      <w:b w:val="1"/>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Multimodal / Multi-sensor / INT fusion</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70" w:right="0" w:hanging="283"/>
                    <w:jc w:val="left"/>
                    <w:rPr>
                      <w:rFonts w:ascii="Calibri" w:cs="Calibri" w:eastAsia="Calibri" w:hAnsi="Calibri"/>
                      <w:b w:val="1"/>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Multimodal Geo-registration</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70" w:right="0" w:hanging="283"/>
                    <w:jc w:val="left"/>
                    <w:rPr>
                      <w:rFonts w:ascii="Calibri" w:cs="Calibri" w:eastAsia="Calibri" w:hAnsi="Calibri"/>
                      <w:b w:val="1"/>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3D Reconstruction and Shape modeling</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70" w:right="0" w:hanging="283"/>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1"/>
                      <w:smallCaps w:val="0"/>
                      <w:strike w:val="0"/>
                      <w:color w:val="000000"/>
                      <w:sz w:val="18"/>
                      <w:szCs w:val="18"/>
                      <w:u w:val="none"/>
                      <w:shd w:fill="auto" w:val="clear"/>
                      <w:vertAlign w:val="baseline"/>
                      <w:rtl w:val="0"/>
                    </w:rPr>
                    <w:t xml:space="preserve">Automatic Caption Generation; Data Labeling</w:t>
                  </w: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tc>
      </w:tr>
    </w:tbl>
    <w:p w:rsidR="00000000" w:rsidDel="00000000" w:rsidP="00000000" w:rsidRDefault="00000000" w:rsidRPr="00000000" w14:paraId="00000059">
      <w:pPr>
        <w:tabs>
          <w:tab w:val="left" w:pos="2112"/>
          <w:tab w:val="left" w:pos="6960"/>
        </w:tabs>
        <w:rPr/>
      </w:pPr>
      <w:r w:rsidDel="00000000" w:rsidR="00000000" w:rsidRPr="00000000">
        <w:rPr>
          <w:rtl w:val="0"/>
        </w:rPr>
        <w:tab/>
        <w:tab/>
      </w:r>
    </w:p>
    <w:sectPr>
      <w:headerReference r:id="rId8" w:type="default"/>
      <w:footerReference r:id="rId9" w:type="default"/>
      <w:pgSz w:h="15840" w:w="12240" w:orient="portrait"/>
      <w:pgMar w:bottom="284" w:top="3210" w:left="90" w:right="0" w:header="90" w:footer="1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europol X Free"/>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Website, challenge, and benchmarking data: </w:t>
    </w:r>
    <w:hyperlink r:id="rId1">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pbvs-workshop.github.io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contact: </w:t>
    </w:r>
    <w:hyperlink r:id="rId2">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michael.teutsch@hensoldt.net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or </w:t>
    </w:r>
    <w:hyperlink r:id="rId3">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sappa@ieee.org</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88"/>
      </w:tabs>
      <w:spacing w:after="0" w:before="0" w:line="240" w:lineRule="auto"/>
      <w:ind w:left="0" w:right="90" w:firstLine="0"/>
      <w:jc w:val="center"/>
      <w:rPr>
        <w:rFonts w:ascii="Calibri" w:cs="Calibri" w:eastAsia="Calibri" w:hAnsi="Calibri"/>
        <w:b w:val="0"/>
        <w:i w:val="0"/>
        <w:smallCaps w:val="0"/>
        <w:strike w:val="0"/>
        <w:color w:val="3c3d75"/>
        <w:sz w:val="37"/>
        <w:szCs w:val="37"/>
        <w:u w:val="none"/>
        <w:shd w:fill="auto" w:val="clear"/>
        <w:vertAlign w:val="baseline"/>
      </w:rPr>
    </w:pPr>
    <w:r w:rsidDel="00000000" w:rsidR="00000000" w:rsidRPr="00000000">
      <w:rPr>
        <w:rFonts w:ascii="Neuropol X Free" w:cs="Neuropol X Free" w:eastAsia="Neuropol X Free" w:hAnsi="Neuropol X Free"/>
        <w:b w:val="1"/>
        <w:i w:val="0"/>
        <w:smallCaps w:val="0"/>
        <w:strike w:val="0"/>
        <w:color w:val="3c3d75"/>
        <w:sz w:val="37"/>
        <w:szCs w:val="37"/>
        <w:u w:val="none"/>
        <w:shd w:fill="auto" w:val="clear"/>
        <w:vertAlign w:val="baseline"/>
        <w:rtl w:val="0"/>
      </w:rPr>
      <w:t xml:space="preserve">18</w:t>
    </w:r>
    <w:r w:rsidDel="00000000" w:rsidR="00000000" w:rsidRPr="00000000">
      <w:rPr>
        <w:rFonts w:ascii="Neuropol X Free" w:cs="Neuropol X Free" w:eastAsia="Neuropol X Free" w:hAnsi="Neuropol X Free"/>
        <w:b w:val="1"/>
        <w:i w:val="0"/>
        <w:smallCaps w:val="0"/>
        <w:strike w:val="0"/>
        <w:color w:val="3c3d75"/>
        <w:sz w:val="37"/>
        <w:szCs w:val="37"/>
        <w:u w:val="none"/>
        <w:shd w:fill="auto" w:val="clear"/>
        <w:vertAlign w:val="superscript"/>
        <w:rtl w:val="0"/>
      </w:rPr>
      <w:t xml:space="preserve">th</w:t>
    </w:r>
    <w:r w:rsidDel="00000000" w:rsidR="00000000" w:rsidRPr="00000000">
      <w:rPr>
        <w:rFonts w:ascii="Neuropol X Free" w:cs="Neuropol X Free" w:eastAsia="Neuropol X Free" w:hAnsi="Neuropol X Free"/>
        <w:b w:val="1"/>
        <w:i w:val="0"/>
        <w:smallCaps w:val="0"/>
        <w:strike w:val="0"/>
        <w:color w:val="3c3d75"/>
        <w:sz w:val="37"/>
        <w:szCs w:val="37"/>
        <w:u w:val="none"/>
        <w:shd w:fill="auto" w:val="clear"/>
        <w:vertAlign w:val="baseline"/>
        <w:rtl w:val="0"/>
      </w:rPr>
      <w:t xml:space="preserve"> IEEE Workshop on Perception Beyond the Visible Spectrum</w:t>
    </w:r>
    <w:r w:rsidDel="00000000" w:rsidR="00000000" w:rsidRPr="00000000">
      <w:rPr>
        <w:rtl w:val="0"/>
      </w:rPr>
    </w:r>
  </w:p>
  <w:tbl>
    <w:tblPr>
      <w:tblStyle w:val="Table3"/>
      <w:tblW w:w="10915.0" w:type="dxa"/>
      <w:jc w:val="left"/>
      <w:tblInd w:w="6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812"/>
      <w:gridCol w:w="5103"/>
      <w:tblGridChange w:id="0">
        <w:tblGrid>
          <w:gridCol w:w="5812"/>
          <w:gridCol w:w="5103"/>
        </w:tblGrid>
      </w:tblGridChange>
    </w:tblGrid>
    <w:tr>
      <w:trPr>
        <w:cantSplit w:val="0"/>
        <w:trHeight w:val="2542" w:hRule="atLeast"/>
        <w:tblHeader w:val="0"/>
      </w:trPr>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924"/>
            </w:tabs>
            <w:spacing w:after="0" w:before="0" w:line="240" w:lineRule="auto"/>
            <w:ind w:left="0" w:right="0" w:firstLine="0"/>
            <w:jc w:val="left"/>
            <w:rPr>
              <w:rFonts w:ascii="Neuropol X Free" w:cs="Neuropol X Free" w:eastAsia="Neuropol X Free" w:hAnsi="Neuropol X Free"/>
              <w:b w:val="1"/>
              <w:i w:val="0"/>
              <w:smallCaps w:val="0"/>
              <w:strike w:val="0"/>
              <w:color w:val="3c3d75"/>
              <w:sz w:val="40"/>
              <w:szCs w:val="4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128905</wp:posOffset>
                </wp:positionH>
                <wp:positionV relativeFrom="paragraph">
                  <wp:posOffset>50800</wp:posOffset>
                </wp:positionV>
                <wp:extent cx="1337310" cy="1473835"/>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37310" cy="1473835"/>
                        </a:xfrm>
                        <a:prstGeom prst="rect"/>
                        <a:ln/>
                      </pic:spPr>
                    </pic:pic>
                  </a:graphicData>
                </a:graphic>
              </wp:anchor>
            </w:drawing>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924"/>
            </w:tabs>
            <w:spacing w:after="0" w:before="0" w:line="240" w:lineRule="auto"/>
            <w:ind w:left="0" w:right="0" w:firstLine="0"/>
            <w:jc w:val="left"/>
            <w:rPr>
              <w:rFonts w:ascii="Neuropol X Free" w:cs="Neuropol X Free" w:eastAsia="Neuropol X Free" w:hAnsi="Neuropol X Free"/>
              <w:b w:val="1"/>
              <w:i w:val="0"/>
              <w:smallCaps w:val="0"/>
              <w:strike w:val="0"/>
              <w:color w:val="3c3d75"/>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924"/>
            </w:tabs>
            <w:spacing w:after="0" w:before="0" w:line="240" w:lineRule="auto"/>
            <w:ind w:left="0" w:right="0" w:firstLine="0"/>
            <w:jc w:val="left"/>
            <w:rPr>
              <w:rFonts w:ascii="Neuropol X Free" w:cs="Neuropol X Free" w:eastAsia="Neuropol X Free" w:hAnsi="Neuropol X Free"/>
              <w:b w:val="1"/>
              <w:i w:val="0"/>
              <w:smallCaps w:val="0"/>
              <w:strike w:val="0"/>
              <w:color w:val="3c3d75"/>
              <w:sz w:val="37"/>
              <w:szCs w:val="37"/>
              <w:u w:val="none"/>
              <w:shd w:fill="auto" w:val="clear"/>
              <w:vertAlign w:val="baseline"/>
            </w:rPr>
          </w:pPr>
          <w:r w:rsidDel="00000000" w:rsidR="00000000" w:rsidRPr="00000000">
            <w:rPr>
              <w:rFonts w:ascii="Neuropol X Free" w:cs="Neuropol X Free" w:eastAsia="Neuropol X Free" w:hAnsi="Neuropol X Free"/>
              <w:b w:val="1"/>
              <w:i w:val="0"/>
              <w:smallCaps w:val="0"/>
              <w:strike w:val="0"/>
              <w:color w:val="3c3d75"/>
              <w:sz w:val="34"/>
              <w:szCs w:val="34"/>
              <w:u w:val="none"/>
              <w:shd w:fill="auto" w:val="clear"/>
              <w:vertAlign w:val="baseline"/>
              <w:rtl w:val="0"/>
            </w:rPr>
            <w:tab/>
          </w:r>
          <w:r w:rsidDel="00000000" w:rsidR="00000000" w:rsidRPr="00000000">
            <w:rPr>
              <w:rFonts w:ascii="Neuropol X Free" w:cs="Neuropol X Free" w:eastAsia="Neuropol X Free" w:hAnsi="Neuropol X Free"/>
              <w:b w:val="1"/>
              <w:i w:val="0"/>
              <w:smallCaps w:val="0"/>
              <w:strike w:val="0"/>
              <w:color w:val="3c3d75"/>
              <w:sz w:val="37"/>
              <w:szCs w:val="37"/>
              <w:u w:val="none"/>
              <w:shd w:fill="auto" w:val="clear"/>
              <w:vertAlign w:val="baseline"/>
              <w:rtl w:val="0"/>
            </w:rPr>
            <w:t xml:space="preserve">PBVS 2022</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8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Neuropol X Free" w:cs="Neuropol X Free" w:eastAsia="Neuropol X Free" w:hAnsi="Neuropol X Free"/>
              <w:b w:val="1"/>
              <w:i w:val="0"/>
              <w:smallCaps w:val="0"/>
              <w:strike w:val="0"/>
              <w:color w:val="3c3d75"/>
              <w:sz w:val="34"/>
              <w:szCs w:val="34"/>
              <w:u w:val="none"/>
              <w:shd w:fill="auto" w:val="clear"/>
              <w:vertAlign w:val="baseline"/>
              <w:rtl w:val="0"/>
            </w:rPr>
            <w:t xml:space="preserve">In Conjunction with</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8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94382" cy="704661"/>
                <wp:effectExtent b="0" l="0" r="0" t="0"/>
                <wp:docPr id="6"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3094382" cy="704661"/>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8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88"/>
      </w:tabs>
      <w:spacing w:after="0" w:before="0" w:line="240" w:lineRule="auto"/>
      <w:ind w:left="0" w:right="9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50" w:hanging="360"/>
      </w:pPr>
      <w:rPr>
        <w:rFonts w:ascii="Noto Sans Symbols" w:cs="Noto Sans Symbols" w:eastAsia="Noto Sans Symbols" w:hAnsi="Noto Sans Symbols"/>
      </w:rPr>
    </w:lvl>
    <w:lvl w:ilvl="1">
      <w:start w:val="1"/>
      <w:numFmt w:val="bullet"/>
      <w:lvlText w:val="o"/>
      <w:lvlJc w:val="left"/>
      <w:pPr>
        <w:ind w:left="1470" w:hanging="360"/>
      </w:pPr>
      <w:rPr>
        <w:rFonts w:ascii="Courier New" w:cs="Courier New" w:eastAsia="Courier New" w:hAnsi="Courier New"/>
      </w:rPr>
    </w:lvl>
    <w:lvl w:ilvl="2">
      <w:start w:val="1"/>
      <w:numFmt w:val="bullet"/>
      <w:lvlText w:val="▪"/>
      <w:lvlJc w:val="left"/>
      <w:pPr>
        <w:ind w:left="2190" w:hanging="360"/>
      </w:pPr>
      <w:rPr>
        <w:rFonts w:ascii="Noto Sans Symbols" w:cs="Noto Sans Symbols" w:eastAsia="Noto Sans Symbols" w:hAnsi="Noto Sans Symbols"/>
      </w:rPr>
    </w:lvl>
    <w:lvl w:ilvl="3">
      <w:start w:val="1"/>
      <w:numFmt w:val="bullet"/>
      <w:lvlText w:val="●"/>
      <w:lvlJc w:val="left"/>
      <w:pPr>
        <w:ind w:left="2910" w:hanging="360"/>
      </w:pPr>
      <w:rPr>
        <w:rFonts w:ascii="Noto Sans Symbols" w:cs="Noto Sans Symbols" w:eastAsia="Noto Sans Symbols" w:hAnsi="Noto Sans Symbols"/>
      </w:rPr>
    </w:lvl>
    <w:lvl w:ilvl="4">
      <w:start w:val="1"/>
      <w:numFmt w:val="bullet"/>
      <w:lvlText w:val="o"/>
      <w:lvlJc w:val="left"/>
      <w:pPr>
        <w:ind w:left="3630" w:hanging="360"/>
      </w:pPr>
      <w:rPr>
        <w:rFonts w:ascii="Courier New" w:cs="Courier New" w:eastAsia="Courier New" w:hAnsi="Courier New"/>
      </w:rPr>
    </w:lvl>
    <w:lvl w:ilvl="5">
      <w:start w:val="1"/>
      <w:numFmt w:val="bullet"/>
      <w:lvlText w:val="▪"/>
      <w:lvlJc w:val="left"/>
      <w:pPr>
        <w:ind w:left="4350" w:hanging="360"/>
      </w:pPr>
      <w:rPr>
        <w:rFonts w:ascii="Noto Sans Symbols" w:cs="Noto Sans Symbols" w:eastAsia="Noto Sans Symbols" w:hAnsi="Noto Sans Symbols"/>
      </w:rPr>
    </w:lvl>
    <w:lvl w:ilvl="6">
      <w:start w:val="1"/>
      <w:numFmt w:val="bullet"/>
      <w:lvlText w:val="●"/>
      <w:lvlJc w:val="left"/>
      <w:pPr>
        <w:ind w:left="5070" w:hanging="360"/>
      </w:pPr>
      <w:rPr>
        <w:rFonts w:ascii="Noto Sans Symbols" w:cs="Noto Sans Symbols" w:eastAsia="Noto Sans Symbols" w:hAnsi="Noto Sans Symbols"/>
      </w:rPr>
    </w:lvl>
    <w:lvl w:ilvl="7">
      <w:start w:val="1"/>
      <w:numFmt w:val="bullet"/>
      <w:lvlText w:val="o"/>
      <w:lvlJc w:val="left"/>
      <w:pPr>
        <w:ind w:left="5790" w:hanging="360"/>
      </w:pPr>
      <w:rPr>
        <w:rFonts w:ascii="Courier New" w:cs="Courier New" w:eastAsia="Courier New" w:hAnsi="Courier New"/>
      </w:rPr>
    </w:lvl>
    <w:lvl w:ilvl="8">
      <w:start w:val="1"/>
      <w:numFmt w:val="bullet"/>
      <w:lvlText w:val="▪"/>
      <w:lvlJc w:val="left"/>
      <w:pPr>
        <w:ind w:left="651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rsid w:val="00A814B0"/>
    <w:pPr>
      <w:spacing w:after="200" w:line="276" w:lineRule="auto"/>
    </w:p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Kopfzeile">
    <w:name w:val="header"/>
    <w:basedOn w:val="Standard"/>
    <w:link w:val="KopfzeileZchn"/>
    <w:uiPriority w:val="99"/>
    <w:unhideWhenUsed w:val="1"/>
    <w:rsid w:val="00A814B0"/>
    <w:pPr>
      <w:tabs>
        <w:tab w:val="center" w:pos="4680"/>
        <w:tab w:val="right" w:pos="9360"/>
      </w:tabs>
      <w:spacing w:after="0" w:line="240" w:lineRule="auto"/>
    </w:pPr>
  </w:style>
  <w:style w:type="character" w:styleId="KopfzeileZchn" w:customStyle="1">
    <w:name w:val="Kopfzeile Zchn"/>
    <w:basedOn w:val="Absatz-Standardschriftart"/>
    <w:link w:val="Kopfzeile"/>
    <w:uiPriority w:val="99"/>
    <w:rsid w:val="00A814B0"/>
  </w:style>
  <w:style w:type="paragraph" w:styleId="Fuzeile">
    <w:name w:val="footer"/>
    <w:basedOn w:val="Standard"/>
    <w:link w:val="FuzeileZchn"/>
    <w:uiPriority w:val="99"/>
    <w:unhideWhenUsed w:val="1"/>
    <w:rsid w:val="00A814B0"/>
    <w:pPr>
      <w:tabs>
        <w:tab w:val="center" w:pos="4680"/>
        <w:tab w:val="right" w:pos="9360"/>
      </w:tabs>
      <w:spacing w:after="0" w:line="240" w:lineRule="auto"/>
    </w:pPr>
  </w:style>
  <w:style w:type="character" w:styleId="FuzeileZchn" w:customStyle="1">
    <w:name w:val="Fußzeile Zchn"/>
    <w:basedOn w:val="Absatz-Standardschriftart"/>
    <w:link w:val="Fuzeile"/>
    <w:uiPriority w:val="99"/>
    <w:rsid w:val="00A814B0"/>
  </w:style>
  <w:style w:type="character" w:styleId="Hyperlink">
    <w:name w:val="Hyperlink"/>
    <w:basedOn w:val="Absatz-Standardschriftart"/>
    <w:uiPriority w:val="99"/>
    <w:unhideWhenUsed w:val="1"/>
    <w:rsid w:val="00A814B0"/>
    <w:rPr>
      <w:color w:val="0563c1" w:themeColor="hyperlink"/>
      <w:u w:val="single"/>
    </w:rPr>
  </w:style>
  <w:style w:type="table" w:styleId="Tabellenraster">
    <w:name w:val="Table Grid"/>
    <w:basedOn w:val="NormaleTabelle"/>
    <w:uiPriority w:val="39"/>
    <w:rsid w:val="00A814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enabsatz">
    <w:name w:val="List Paragraph"/>
    <w:basedOn w:val="Standard"/>
    <w:uiPriority w:val="34"/>
    <w:qFormat w:val="1"/>
    <w:rsid w:val="00A814B0"/>
    <w:pPr>
      <w:ind w:left="720"/>
      <w:contextualSpacing w:val="1"/>
    </w:pPr>
  </w:style>
  <w:style w:type="paragraph" w:styleId="Default" w:customStyle="1">
    <w:name w:val="Default"/>
    <w:rsid w:val="00A814B0"/>
    <w:pPr>
      <w:autoSpaceDE w:val="0"/>
      <w:autoSpaceDN w:val="0"/>
      <w:adjustRightInd w:val="0"/>
      <w:spacing w:after="0" w:line="240" w:lineRule="auto"/>
    </w:pPr>
    <w:rPr>
      <w:rFonts w:ascii="Palatino Linotype" w:cs="Palatino Linotype" w:hAnsi="Palatino Linotype"/>
      <w:color w:val="000000"/>
      <w:sz w:val="24"/>
      <w:szCs w:val="24"/>
    </w:rPr>
  </w:style>
  <w:style w:type="paragraph" w:styleId="Sprechblasentext">
    <w:name w:val="Balloon Text"/>
    <w:basedOn w:val="Standard"/>
    <w:link w:val="SprechblasentextZchn"/>
    <w:uiPriority w:val="99"/>
    <w:semiHidden w:val="1"/>
    <w:unhideWhenUsed w:val="1"/>
    <w:rsid w:val="00B964DE"/>
    <w:pPr>
      <w:spacing w:after="0" w:line="240" w:lineRule="auto"/>
    </w:pPr>
    <w:rPr>
      <w:rFonts w:ascii="Microsoft YaHei UI" w:eastAsia="Microsoft YaHei UI"/>
      <w:sz w:val="18"/>
      <w:szCs w:val="18"/>
    </w:rPr>
  </w:style>
  <w:style w:type="character" w:styleId="SprechblasentextZchn" w:customStyle="1">
    <w:name w:val="Sprechblasentext Zchn"/>
    <w:basedOn w:val="Absatz-Standardschriftart"/>
    <w:link w:val="Sprechblasentext"/>
    <w:uiPriority w:val="99"/>
    <w:semiHidden w:val="1"/>
    <w:rsid w:val="00B964DE"/>
    <w:rPr>
      <w:rFonts w:ascii="Microsoft YaHei UI" w:eastAsia="Microsoft YaHei UI"/>
      <w:sz w:val="18"/>
      <w:szCs w:val="18"/>
    </w:rPr>
  </w:style>
  <w:style w:type="character" w:styleId="Kommentarzeichen">
    <w:name w:val="annotation reference"/>
    <w:basedOn w:val="Absatz-Standardschriftart"/>
    <w:uiPriority w:val="99"/>
    <w:semiHidden w:val="1"/>
    <w:unhideWhenUsed w:val="1"/>
    <w:rsid w:val="00563BE3"/>
    <w:rPr>
      <w:sz w:val="16"/>
      <w:szCs w:val="16"/>
    </w:rPr>
  </w:style>
  <w:style w:type="paragraph" w:styleId="Kommentartext">
    <w:name w:val="annotation text"/>
    <w:basedOn w:val="Standard"/>
    <w:link w:val="KommentartextZchn"/>
    <w:uiPriority w:val="99"/>
    <w:semiHidden w:val="1"/>
    <w:unhideWhenUsed w:val="1"/>
    <w:rsid w:val="00563BE3"/>
    <w:pPr>
      <w:spacing w:line="240" w:lineRule="auto"/>
    </w:pPr>
    <w:rPr>
      <w:sz w:val="20"/>
      <w:szCs w:val="20"/>
    </w:rPr>
  </w:style>
  <w:style w:type="character" w:styleId="KommentartextZchn" w:customStyle="1">
    <w:name w:val="Kommentartext Zchn"/>
    <w:basedOn w:val="Absatz-Standardschriftart"/>
    <w:link w:val="Kommentartext"/>
    <w:uiPriority w:val="99"/>
    <w:semiHidden w:val="1"/>
    <w:rsid w:val="00563BE3"/>
    <w:rPr>
      <w:sz w:val="20"/>
      <w:szCs w:val="20"/>
    </w:rPr>
  </w:style>
  <w:style w:type="paragraph" w:styleId="Kommentarthema">
    <w:name w:val="annotation subject"/>
    <w:basedOn w:val="Kommentartext"/>
    <w:next w:val="Kommentartext"/>
    <w:link w:val="KommentarthemaZchn"/>
    <w:uiPriority w:val="99"/>
    <w:semiHidden w:val="1"/>
    <w:unhideWhenUsed w:val="1"/>
    <w:rsid w:val="00563BE3"/>
    <w:rPr>
      <w:b w:val="1"/>
      <w:bCs w:val="1"/>
    </w:rPr>
  </w:style>
  <w:style w:type="character" w:styleId="KommentarthemaZchn" w:customStyle="1">
    <w:name w:val="Kommentarthema Zchn"/>
    <w:basedOn w:val="KommentartextZchn"/>
    <w:link w:val="Kommentarthema"/>
    <w:uiPriority w:val="99"/>
    <w:semiHidden w:val="1"/>
    <w:rsid w:val="00563BE3"/>
    <w:rPr>
      <w:b w:val="1"/>
      <w:bCs w:val="1"/>
      <w:sz w:val="20"/>
      <w:szCs w:val="20"/>
    </w:rPr>
  </w:style>
  <w:style w:type="character" w:styleId="NichtaufgelsteErwhnung1" w:customStyle="1">
    <w:name w:val="Nicht aufgelöste Erwähnung1"/>
    <w:basedOn w:val="Absatz-Standardschriftart"/>
    <w:uiPriority w:val="99"/>
    <w:semiHidden w:val="1"/>
    <w:unhideWhenUsed w:val="1"/>
    <w:rsid w:val="00ED24E6"/>
    <w:rPr>
      <w:color w:val="605e5c"/>
      <w:shd w:color="auto" w:fill="e1dfdd" w:val="clear"/>
    </w:rPr>
  </w:style>
  <w:style w:type="character" w:styleId="NichtaufgelsteErwhnung">
    <w:name w:val="Unresolved Mention"/>
    <w:basedOn w:val="Absatz-Standardschriftart"/>
    <w:uiPriority w:val="99"/>
    <w:semiHidden w:val="1"/>
    <w:unhideWhenUsed w:val="1"/>
    <w:rsid w:val="00916C9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about:blank" TargetMode="External"/><Relationship Id="rId2" Type="http://schemas.openxmlformats.org/officeDocument/2006/relationships/hyperlink" Target="mailto:michael.teutsch@hensoldt.net" TargetMode="External"/><Relationship Id="rId3" Type="http://schemas.openxmlformats.org/officeDocument/2006/relationships/hyperlink" Target="mailto:sappa@ieee.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2bZxXk6V/D7+TeOg3f1Wb+v/zw==">AMUW2mVzrWo63iAThrIlAY8PzzWBVvSIB4K1rZh3nONCE/MLvu4pHGhy9fgLXTLQjIxq4TQj6e6sZgZyHGVkPiF6aNcBYwgpg5eO+TPDQJbcgk4MSPi3GwiChMuekVbli9vjZ58MnTaspaA6UpAY9JRsoxFcYgZOQw==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2021-04-03T07:14:00Z</dcterms:created>
  <dc:creator>hammoud;Yi</dc:creator>
</cp:coreProperties>
</file>