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C16E" w14:textId="39E03F39" w:rsidR="005C648A" w:rsidRDefault="007C3CD3" w:rsidP="007C3CD3">
      <w:pPr>
        <w:pStyle w:val="1"/>
      </w:pPr>
      <w:r>
        <w:rPr>
          <w:rFonts w:hint="eastAsia"/>
        </w:rPr>
        <w:t>为什么选择复现这个报告</w:t>
      </w:r>
    </w:p>
    <w:p w14:paraId="3BE1EE05" w14:textId="77777777" w:rsidR="00461AF7" w:rsidRPr="00461AF7" w:rsidRDefault="00461AF7" w:rsidP="00461AF7">
      <w:r w:rsidRPr="00461AF7">
        <w:t>已有模型指标衡量范围偏</w:t>
      </w:r>
      <w:r w:rsidRPr="00461AF7">
        <w:rPr>
          <w:rFonts w:hint="eastAsia"/>
        </w:rPr>
        <w:t>总量</w:t>
      </w:r>
      <w:r w:rsidRPr="00461AF7">
        <w:t>，无法有效刻画</w:t>
      </w:r>
      <w:proofErr w:type="gramStart"/>
      <w:r w:rsidRPr="00461AF7">
        <w:t>弱趋势</w:t>
      </w:r>
      <w:proofErr w:type="gramEnd"/>
      <w:r w:rsidRPr="00461AF7">
        <w:rPr>
          <w:rFonts w:hint="eastAsia"/>
        </w:rPr>
        <w:t>下投资热点切换快、行业轮</w:t>
      </w:r>
      <w:proofErr w:type="gramStart"/>
      <w:r w:rsidRPr="00461AF7">
        <w:rPr>
          <w:rFonts w:hint="eastAsia"/>
        </w:rPr>
        <w:t>涨补涨特征</w:t>
      </w:r>
      <w:proofErr w:type="gramEnd"/>
      <w:r w:rsidRPr="00461AF7">
        <w:rPr>
          <w:rFonts w:hint="eastAsia"/>
        </w:rPr>
        <w:t>显著、资金交易过于集中的股票交易市场。</w:t>
      </w:r>
    </w:p>
    <w:p w14:paraId="6574F7FA" w14:textId="77777777" w:rsidR="00461AF7" w:rsidRDefault="00461AF7" w:rsidP="00461AF7">
      <w:r w:rsidRPr="00461AF7">
        <w:t>从结构指标出发，</w:t>
      </w:r>
      <w:r w:rsidRPr="00461AF7">
        <w:rPr>
          <w:rFonts w:hint="eastAsia"/>
        </w:rPr>
        <w:t>对市场情绪做具体细节性的刻画，为指数择时提供更多的增量信息。</w:t>
      </w:r>
    </w:p>
    <w:p w14:paraId="2E3CCE65" w14:textId="695697DE" w:rsidR="00461AF7" w:rsidRDefault="00461AF7" w:rsidP="00AA383B">
      <w:r>
        <w:rPr>
          <w:rFonts w:hint="eastAsia"/>
        </w:rPr>
        <w:t>常用市场价量指标刻画市场情绪指标，但这类指标反映已经发生的市场交易行为</w:t>
      </w:r>
      <w:r w:rsidR="00AA383B">
        <w:rPr>
          <w:rFonts w:hint="eastAsia"/>
        </w:rPr>
        <w:t>，</w:t>
      </w:r>
      <w:r w:rsidR="00AA383B">
        <w:t>尤其是像沪深两市成交额、全A 换手率这类体现市场总量的指标，能够提供的信息增量有限。</w:t>
      </w:r>
    </w:p>
    <w:p w14:paraId="2335AF42" w14:textId="141737FE" w:rsidR="00AA383B" w:rsidRPr="00AA383B" w:rsidRDefault="00AA383B" w:rsidP="00AA383B">
      <w:r>
        <w:rPr>
          <w:rFonts w:hint="eastAsia"/>
        </w:rPr>
        <w:t>所以，</w:t>
      </w:r>
      <w:r>
        <w:t>从结构指标出发，对刻画市场交易特征做进一步探究，目标是对市场情绪做具有细节性的刻画，为指数择时提供更多的增量信息。</w:t>
      </w:r>
    </w:p>
    <w:p w14:paraId="1C683929" w14:textId="73A76B01" w:rsidR="007C3CD3" w:rsidRDefault="007C3CD3" w:rsidP="007C3CD3">
      <w:pPr>
        <w:pStyle w:val="1"/>
      </w:pPr>
      <w:r>
        <w:rPr>
          <w:rFonts w:hint="eastAsia"/>
        </w:rPr>
        <w:t>做了哪些工作</w:t>
      </w:r>
    </w:p>
    <w:p w14:paraId="73ACBCAB" w14:textId="77777777" w:rsidR="00AA383B" w:rsidRDefault="00AA383B" w:rsidP="00AA383B"/>
    <w:tbl>
      <w:tblPr>
        <w:tblStyle w:val="af2"/>
        <w:tblW w:w="9806" w:type="dxa"/>
        <w:jc w:val="center"/>
        <w:tblLook w:val="04A0" w:firstRow="1" w:lastRow="0" w:firstColumn="1" w:lastColumn="0" w:noHBand="0" w:noVBand="1"/>
      </w:tblPr>
      <w:tblGrid>
        <w:gridCol w:w="1048"/>
        <w:gridCol w:w="1048"/>
        <w:gridCol w:w="2095"/>
        <w:gridCol w:w="2168"/>
        <w:gridCol w:w="2598"/>
        <w:gridCol w:w="849"/>
      </w:tblGrid>
      <w:tr w:rsidR="00AA383B" w:rsidRPr="009F7C74" w14:paraId="5EFE1892" w14:textId="77777777" w:rsidTr="00DF11A7">
        <w:trPr>
          <w:jc w:val="center"/>
        </w:trPr>
        <w:tc>
          <w:tcPr>
            <w:tcW w:w="1048" w:type="dxa"/>
            <w:vAlign w:val="center"/>
          </w:tcPr>
          <w:p w14:paraId="1F1EF5F2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0" w:name="OLE_LINK1"/>
            <w:r>
              <w:rPr>
                <w:rFonts w:asciiTheme="minorEastAsia" w:hAnsiTheme="minorEastAsia" w:hint="eastAsia"/>
                <w:sz w:val="18"/>
                <w:szCs w:val="18"/>
              </w:rPr>
              <w:t>指标类型</w:t>
            </w:r>
          </w:p>
        </w:tc>
        <w:tc>
          <w:tcPr>
            <w:tcW w:w="1048" w:type="dxa"/>
            <w:vAlign w:val="center"/>
          </w:tcPr>
          <w:p w14:paraId="01CE025C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</w:p>
        </w:tc>
        <w:tc>
          <w:tcPr>
            <w:tcW w:w="2095" w:type="dxa"/>
            <w:vAlign w:val="center"/>
          </w:tcPr>
          <w:p w14:paraId="573D34CC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计算</w:t>
            </w:r>
          </w:p>
        </w:tc>
        <w:tc>
          <w:tcPr>
            <w:tcW w:w="2168" w:type="dxa"/>
            <w:vAlign w:val="center"/>
          </w:tcPr>
          <w:p w14:paraId="621F6AD9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市场意义</w:t>
            </w:r>
          </w:p>
        </w:tc>
        <w:tc>
          <w:tcPr>
            <w:tcW w:w="2598" w:type="dxa"/>
            <w:vAlign w:val="center"/>
          </w:tcPr>
          <w:p w14:paraId="6A52F786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判断条件</w:t>
            </w:r>
          </w:p>
        </w:tc>
        <w:tc>
          <w:tcPr>
            <w:tcW w:w="849" w:type="dxa"/>
            <w:vAlign w:val="center"/>
          </w:tcPr>
          <w:p w14:paraId="0BEEB0B7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分数</w:t>
            </w:r>
          </w:p>
        </w:tc>
      </w:tr>
      <w:tr w:rsidR="00AA383B" w:rsidRPr="009F7C74" w14:paraId="15EFDFC4" w14:textId="77777777" w:rsidTr="00DF11A7">
        <w:trPr>
          <w:jc w:val="center"/>
        </w:trPr>
        <w:tc>
          <w:tcPr>
            <w:tcW w:w="1048" w:type="dxa"/>
            <w:vMerge w:val="restart"/>
            <w:vAlign w:val="center"/>
          </w:tcPr>
          <w:p w14:paraId="55018CCD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交易数据</w:t>
            </w:r>
          </w:p>
        </w:tc>
        <w:tc>
          <w:tcPr>
            <w:tcW w:w="1048" w:type="dxa"/>
            <w:vAlign w:val="center"/>
          </w:tcPr>
          <w:p w14:paraId="378386AA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行业成交额占比波动率</w:t>
            </w:r>
          </w:p>
        </w:tc>
        <w:tc>
          <w:tcPr>
            <w:tcW w:w="2095" w:type="dxa"/>
            <w:vAlign w:val="center"/>
          </w:tcPr>
          <w:p w14:paraId="4BD1FAB4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i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m:oMath>
              <m:r>
                <w:rPr>
                  <w:rFonts w:ascii="Cambria Math" w:hAnsi="Cambria Math" w:hint="eastAsia"/>
                  <w:sz w:val="18"/>
                  <w:szCs w:val="18"/>
                </w:rPr>
                <m:t>相对成交额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申万一级行业成交额</m:t>
                  </m:r>
                </m:num>
                <m:den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流通市值</m:t>
                  </m:r>
                </m:den>
              </m:f>
            </m:oMath>
          </w:p>
          <w:p w14:paraId="518BA827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相对成交额占比一致性：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br/>
              <w:t>对各行业相对成交额进行排序，得到行业排序序列；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br/>
              <w:t>计算相邻交易日（t日与t-1日）行业排序序列的相关系数（斯皮尔曼</w:t>
            </w:r>
            <w:proofErr w:type="gramStart"/>
            <w:r w:rsidRPr="009F7C74">
              <w:rPr>
                <w:rFonts w:asciiTheme="minorEastAsia" w:hAnsiTheme="minorEastAsia"/>
                <w:sz w:val="18"/>
                <w:szCs w:val="18"/>
              </w:rPr>
              <w:t>秩</w:t>
            </w:r>
            <w:proofErr w:type="gramEnd"/>
            <w:r w:rsidRPr="009F7C74">
              <w:rPr>
                <w:rFonts w:asciiTheme="minorEastAsia" w:hAnsiTheme="minorEastAsia"/>
                <w:sz w:val="18"/>
                <w:szCs w:val="18"/>
              </w:rPr>
              <w:t>相关系数）；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br/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3.行业成交额占比波动率：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br/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相对成交额占比一致性20日滚动标准差。</w:t>
            </w:r>
          </w:p>
        </w:tc>
        <w:tc>
          <w:tcPr>
            <w:tcW w:w="2168" w:type="dxa"/>
            <w:vAlign w:val="center"/>
          </w:tcPr>
          <w:p w14:paraId="75BEB50F" w14:textId="77777777" w:rsidR="00AA383B" w:rsidRPr="009F7C74" w:rsidRDefault="00AA383B" w:rsidP="00DF11A7">
            <w:pPr>
              <w:jc w:val="center"/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</w:pPr>
            <w:r w:rsidRPr="009F7C74"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  <w:t>行业成交额占比一致性：</w:t>
            </w:r>
          </w:p>
          <w:p w14:paraId="3034F8EF" w14:textId="77777777" w:rsidR="00AA383B" w:rsidRPr="009F7C74" w:rsidRDefault="00AA383B" w:rsidP="00DF11A7">
            <w:pPr>
              <w:jc w:val="center"/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</w:pPr>
            <w:r w:rsidRPr="009F7C74"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  <w:t>相关系数较上期上升，市场交易行为比较持续</w:t>
            </w:r>
            <w:r w:rsidRPr="009F7C74">
              <w:rPr>
                <w:rFonts w:asciiTheme="minorEastAsia" w:hAnsiTheme="minorEastAsia" w:cs="MicrosoftYaHei" w:hint="eastAsia"/>
                <w:color w:val="404040"/>
                <w:kern w:val="0"/>
                <w:sz w:val="18"/>
                <w:szCs w:val="18"/>
              </w:rPr>
              <w:t>；</w:t>
            </w:r>
          </w:p>
          <w:p w14:paraId="7B3EC5A8" w14:textId="77777777" w:rsidR="00AA383B" w:rsidRPr="009F7C74" w:rsidRDefault="00AA383B" w:rsidP="00DF11A7">
            <w:pPr>
              <w:jc w:val="center"/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</w:pPr>
            <w:r w:rsidRPr="009F7C74"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  <w:t>相关系数较上期下降，市场交易重心发生变化</w:t>
            </w:r>
            <w:r w:rsidRPr="009F7C74">
              <w:rPr>
                <w:rFonts w:asciiTheme="minorEastAsia" w:hAnsiTheme="minorEastAsia" w:cs="MicrosoftYaHei" w:hint="eastAsia"/>
                <w:color w:val="404040"/>
                <w:kern w:val="0"/>
                <w:sz w:val="18"/>
                <w:szCs w:val="18"/>
              </w:rPr>
              <w:t>。</w:t>
            </w:r>
          </w:p>
          <w:p w14:paraId="3231C042" w14:textId="77777777" w:rsidR="00AA383B" w:rsidRPr="009F7C74" w:rsidRDefault="00AA383B" w:rsidP="00DF11A7">
            <w:pPr>
              <w:jc w:val="center"/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</w:pPr>
            <w:r w:rsidRPr="009F7C74"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  <w:t>行业成交额占比波动率（行业板块观点的分歧程度）</w:t>
            </w:r>
            <w:r w:rsidRPr="009F7C74">
              <w:rPr>
                <w:rFonts w:asciiTheme="minorEastAsia" w:hAnsiTheme="minorEastAsia" w:cs="MicrosoftYaHei" w:hint="eastAsia"/>
                <w:color w:val="404040"/>
                <w:kern w:val="0"/>
                <w:sz w:val="18"/>
                <w:szCs w:val="18"/>
              </w:rPr>
              <w:t>：</w:t>
            </w:r>
          </w:p>
          <w:p w14:paraId="39A97221" w14:textId="77777777" w:rsidR="00AA383B" w:rsidRPr="009F7C74" w:rsidRDefault="00AA383B" w:rsidP="00DF11A7">
            <w:pPr>
              <w:jc w:val="center"/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</w:pPr>
            <w:r w:rsidRPr="009F7C74"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  <w:t>波动率提高，当前市场资金交易频繁</w:t>
            </w:r>
            <w:r>
              <w:rPr>
                <w:rFonts w:asciiTheme="minorEastAsia" w:hAnsiTheme="minorEastAsia" w:cs="MicrosoftYaHei" w:hint="eastAsia"/>
                <w:color w:val="404040"/>
                <w:kern w:val="0"/>
                <w:sz w:val="18"/>
                <w:szCs w:val="18"/>
              </w:rPr>
              <w:t>。</w:t>
            </w:r>
          </w:p>
          <w:p w14:paraId="348C20C6" w14:textId="77777777" w:rsidR="00AA383B" w:rsidRPr="009F7C74" w:rsidRDefault="00AA383B" w:rsidP="00DF11A7">
            <w:pPr>
              <w:jc w:val="center"/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</w:pPr>
            <w:r w:rsidRPr="009F7C74"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  <w:t>这个指标越高，分歧越大，交易越频繁，伴随成交量上升，情绪乐观</w:t>
            </w:r>
            <w:r>
              <w:rPr>
                <w:rFonts w:asciiTheme="minorEastAsia" w:hAnsiTheme="minorEastAsia" w:cs="MicrosoftYaHei" w:hint="eastAsia"/>
                <w:color w:val="404040"/>
                <w:kern w:val="0"/>
                <w:sz w:val="18"/>
                <w:szCs w:val="18"/>
              </w:rPr>
              <w:t>。</w:t>
            </w:r>
          </w:p>
        </w:tc>
        <w:tc>
          <w:tcPr>
            <w:tcW w:w="2598" w:type="dxa"/>
            <w:vAlign w:val="center"/>
          </w:tcPr>
          <w:p w14:paraId="7ED21C06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  <w:t>MA20</w:t>
            </w:r>
            <w:r w:rsidRPr="009F7C74">
              <w:rPr>
                <w:rFonts w:asciiTheme="minorEastAsia" w:hAnsiTheme="minorEastAsia" w:cs="MicrosoftYaHei" w:hint="eastAsia"/>
                <w:color w:val="404040"/>
                <w:kern w:val="0"/>
                <w:sz w:val="18"/>
                <w:szCs w:val="18"/>
              </w:rPr>
              <w:t>是否高于布林轨（</w:t>
            </w:r>
            <w:r w:rsidRPr="009F7C74"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  <w:t>M=250</w:t>
            </w:r>
            <w:r w:rsidRPr="009F7C74">
              <w:rPr>
                <w:rFonts w:asciiTheme="minorEastAsia" w:hAnsiTheme="minorEastAsia" w:cs="MicrosoftYaHei" w:hint="eastAsia"/>
                <w:color w:val="404040"/>
                <w:kern w:val="0"/>
                <w:sz w:val="18"/>
                <w:szCs w:val="18"/>
              </w:rPr>
              <w:t>，</w:t>
            </w:r>
            <w:r w:rsidRPr="009F7C74">
              <w:rPr>
                <w:rFonts w:asciiTheme="minorEastAsia" w:hAnsiTheme="minorEastAsia" w:cs="MicrosoftYaHei"/>
                <w:color w:val="404040"/>
                <w:kern w:val="0"/>
                <w:sz w:val="18"/>
                <w:szCs w:val="18"/>
              </w:rPr>
              <w:t>N=0.5</w:t>
            </w:r>
            <w:r w:rsidRPr="009F7C74">
              <w:rPr>
                <w:rFonts w:asciiTheme="minorEastAsia" w:hAnsiTheme="minorEastAsia" w:cs="MicrosoftYaHei" w:hint="eastAsia"/>
                <w:color w:val="404040"/>
                <w:kern w:val="0"/>
                <w:sz w:val="18"/>
                <w:szCs w:val="18"/>
              </w:rPr>
              <w:t>）上轨或低于下轨或在通道内</w:t>
            </w:r>
          </w:p>
        </w:tc>
        <w:tc>
          <w:tcPr>
            <w:tcW w:w="849" w:type="dxa"/>
            <w:vAlign w:val="center"/>
          </w:tcPr>
          <w:p w14:paraId="5D8A190D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cs="MicrosoftYaHei-Bold" w:hint="eastAsia"/>
                <w:color w:val="404040"/>
                <w:kern w:val="0"/>
                <w:sz w:val="18"/>
                <w:szCs w:val="18"/>
              </w:rPr>
              <w:t>（</w:t>
            </w:r>
            <w:r w:rsidRPr="009F7C74">
              <w:rPr>
                <w:rFonts w:asciiTheme="minorEastAsia" w:hAnsiTheme="minorEastAsia" w:cs="MicrosoftYaHei-Bold"/>
                <w:color w:val="404040"/>
                <w:kern w:val="0"/>
                <w:sz w:val="18"/>
                <w:szCs w:val="18"/>
              </w:rPr>
              <w:t>1</w:t>
            </w:r>
            <w:r w:rsidRPr="009F7C74">
              <w:rPr>
                <w:rFonts w:asciiTheme="minorEastAsia" w:hAnsiTheme="minorEastAsia" w:cs="MicrosoftYaHei-Bold" w:hint="eastAsia"/>
                <w:color w:val="404040"/>
                <w:kern w:val="0"/>
                <w:sz w:val="18"/>
                <w:szCs w:val="18"/>
              </w:rPr>
              <w:t>，</w:t>
            </w:r>
            <w:r w:rsidRPr="009F7C74">
              <w:rPr>
                <w:rFonts w:asciiTheme="minorEastAsia" w:hAnsiTheme="minorEastAsia" w:cs="MicrosoftYaHei-Bold"/>
                <w:color w:val="404040"/>
                <w:kern w:val="0"/>
                <w:sz w:val="18"/>
                <w:szCs w:val="18"/>
              </w:rPr>
              <w:t>-1</w:t>
            </w:r>
            <w:r w:rsidRPr="009F7C74">
              <w:rPr>
                <w:rFonts w:asciiTheme="minorEastAsia" w:hAnsiTheme="minorEastAsia" w:cs="MicrosoftYaHei-Bold" w:hint="eastAsia"/>
                <w:color w:val="404040"/>
                <w:kern w:val="0"/>
                <w:sz w:val="18"/>
                <w:szCs w:val="18"/>
              </w:rPr>
              <w:t>，</w:t>
            </w:r>
            <w:r w:rsidRPr="009F7C74">
              <w:rPr>
                <w:rFonts w:asciiTheme="minorEastAsia" w:hAnsiTheme="minorEastAsia" w:cs="MicrosoftYaHei-Bold"/>
                <w:color w:val="404040"/>
                <w:kern w:val="0"/>
                <w:sz w:val="18"/>
                <w:szCs w:val="18"/>
              </w:rPr>
              <w:t>0</w:t>
            </w:r>
            <w:r w:rsidRPr="009F7C74">
              <w:rPr>
                <w:rFonts w:asciiTheme="minorEastAsia" w:hAnsiTheme="minorEastAsia" w:cs="MicrosoftYaHei-Bold" w:hint="eastAsia"/>
                <w:color w:val="404040"/>
                <w:kern w:val="0"/>
                <w:sz w:val="18"/>
                <w:szCs w:val="18"/>
              </w:rPr>
              <w:t>）</w:t>
            </w:r>
          </w:p>
        </w:tc>
      </w:tr>
      <w:tr w:rsidR="00AA383B" w:rsidRPr="009F7C74" w14:paraId="02C654EC" w14:textId="77777777" w:rsidTr="00DF11A7">
        <w:trPr>
          <w:jc w:val="center"/>
        </w:trPr>
        <w:tc>
          <w:tcPr>
            <w:tcW w:w="1048" w:type="dxa"/>
            <w:vMerge/>
            <w:vAlign w:val="center"/>
          </w:tcPr>
          <w:p w14:paraId="2E682617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14:paraId="6C8A098F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A股市场交易的行业集中度</w:t>
            </w:r>
          </w:p>
        </w:tc>
        <w:tc>
          <w:tcPr>
            <w:tcW w:w="2095" w:type="dxa"/>
            <w:vAlign w:val="center"/>
          </w:tcPr>
          <w:p w14:paraId="069D9E8D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使用</w:t>
            </w:r>
            <w:proofErr w:type="gramStart"/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申万一级行业</w:t>
            </w:r>
            <w:proofErr w:type="gramEnd"/>
            <w:r w:rsidRPr="009F7C74">
              <w:rPr>
                <w:rFonts w:asciiTheme="minorEastAsia" w:hAnsiTheme="minorEastAsia"/>
                <w:sz w:val="18"/>
                <w:szCs w:val="18"/>
              </w:rPr>
              <w:t>换手率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每日取换手率最高的5个行业，计算其换手率均值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市场平均换手率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=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所有行业换手率均值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67D83467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A股市场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交易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行业集中度=前5行业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换手率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均值/全市场换手率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6C5F418F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对</w:t>
            </w:r>
            <w:proofErr w:type="gramStart"/>
            <w:r w:rsidRPr="009F7C74">
              <w:rPr>
                <w:rFonts w:asciiTheme="minorEastAsia" w:hAnsiTheme="minorEastAsia"/>
                <w:sz w:val="18"/>
                <w:szCs w:val="18"/>
              </w:rPr>
              <w:t>集中度做</w:t>
            </w:r>
            <w:proofErr w:type="gramEnd"/>
            <w:r w:rsidRPr="009F7C74">
              <w:rPr>
                <w:rFonts w:asciiTheme="minorEastAsia" w:hAnsiTheme="minorEastAsia"/>
                <w:sz w:val="18"/>
                <w:szCs w:val="18"/>
              </w:rPr>
              <w:t>20日均线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168" w:type="dxa"/>
            <w:vAlign w:val="center"/>
          </w:tcPr>
          <w:p w14:paraId="1D630B9B" w14:textId="77777777" w:rsidR="00AA383B" w:rsidRPr="003D6153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指数偏高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3D6153">
              <w:rPr>
                <w:rFonts w:asciiTheme="minorEastAsia" w:hAnsiTheme="minorEastAsia"/>
                <w:sz w:val="18"/>
                <w:szCs w:val="18"/>
              </w:rPr>
              <w:t>头部行业换手与全市场换手差距过大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7BC0E823" w14:textId="77777777" w:rsidR="00AA383B" w:rsidRPr="003D6153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指标围绕均值或处于均值以下代表当前资金偏好在行业层面不集中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29674B6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指标越高到极值，行业过于拥挤，易发生反转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598" w:type="dxa"/>
            <w:vAlign w:val="center"/>
          </w:tcPr>
          <w:p w14:paraId="51083678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MA20是否高于250日均线+1倍标准差或低于</w:t>
            </w:r>
          </w:p>
        </w:tc>
        <w:tc>
          <w:tcPr>
            <w:tcW w:w="849" w:type="dxa"/>
            <w:vAlign w:val="center"/>
          </w:tcPr>
          <w:p w14:paraId="431E76F4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（-1，0）</w:t>
            </w:r>
          </w:p>
        </w:tc>
      </w:tr>
      <w:tr w:rsidR="00AA383B" w:rsidRPr="009F7C74" w14:paraId="12E2DD02" w14:textId="77777777" w:rsidTr="00DF11A7">
        <w:trPr>
          <w:jc w:val="center"/>
        </w:trPr>
        <w:tc>
          <w:tcPr>
            <w:tcW w:w="1048" w:type="dxa"/>
            <w:vMerge/>
            <w:vAlign w:val="center"/>
          </w:tcPr>
          <w:p w14:paraId="0DB492E4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14:paraId="6373EE4C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9F7C74">
              <w:rPr>
                <w:rFonts w:asciiTheme="minorEastAsia" w:hAnsiTheme="minorEastAsia"/>
                <w:sz w:val="18"/>
                <w:szCs w:val="18"/>
              </w:rPr>
              <w:t>行业涨幅</w:t>
            </w:r>
            <w:proofErr w:type="gramEnd"/>
            <w:r w:rsidRPr="009F7C74">
              <w:rPr>
                <w:rFonts w:asciiTheme="minorEastAsia" w:hAnsiTheme="minorEastAsia"/>
                <w:sz w:val="18"/>
                <w:szCs w:val="18"/>
              </w:rPr>
              <w:t>和成交额变化一致性</w:t>
            </w:r>
          </w:p>
        </w:tc>
        <w:tc>
          <w:tcPr>
            <w:tcW w:w="2095" w:type="dxa"/>
            <w:vAlign w:val="center"/>
          </w:tcPr>
          <w:p w14:paraId="7189D6A9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每日对各行业计算指数涨跌幅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（日收益率）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排序和相对成交额（成交额/流通市值）排序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4FFD17AA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计算两个排序序列的相关系数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3B81C1C7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对相关系数序列做60日均线（MA60）</w:t>
            </w:r>
          </w:p>
        </w:tc>
        <w:tc>
          <w:tcPr>
            <w:tcW w:w="2168" w:type="dxa"/>
            <w:vAlign w:val="center"/>
          </w:tcPr>
          <w:p w14:paraId="7BF3D425" w14:textId="77777777" w:rsidR="00AA383B" w:rsidRPr="003D6153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lastRenderedPageBreak/>
              <w:t>市场信心足、情绪较高：市场资金在行业、板块间轮转速度相对缓慢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541E7C03" w14:textId="77777777" w:rsidR="00AA383B" w:rsidRPr="003D6153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lastRenderedPageBreak/>
              <w:t>市场情绪恐慌、信心缺乏：资金轮转速度较快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0886093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指标高：涨幅大，成交额大，放量上涨，信心充足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598" w:type="dxa"/>
            <w:vAlign w:val="center"/>
          </w:tcPr>
          <w:p w14:paraId="7AEDA6F0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lastRenderedPageBreak/>
              <w:t>MA20的z-score（window=250)</w:t>
            </w:r>
          </w:p>
        </w:tc>
        <w:tc>
          <w:tcPr>
            <w:tcW w:w="849" w:type="dxa"/>
            <w:vAlign w:val="center"/>
          </w:tcPr>
          <w:p w14:paraId="0A2A4698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z-score</w:t>
            </w:r>
          </w:p>
        </w:tc>
      </w:tr>
      <w:tr w:rsidR="00AA383B" w:rsidRPr="009F7C74" w14:paraId="74E1A9D4" w14:textId="77777777" w:rsidTr="00DF11A7">
        <w:trPr>
          <w:jc w:val="center"/>
        </w:trPr>
        <w:tc>
          <w:tcPr>
            <w:tcW w:w="1048" w:type="dxa"/>
            <w:vMerge/>
            <w:vAlign w:val="center"/>
          </w:tcPr>
          <w:p w14:paraId="24455A83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14:paraId="13AE23B1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创业</w:t>
            </w:r>
            <w:proofErr w:type="gramStart"/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板成交</w:t>
            </w:r>
            <w:proofErr w:type="gramEnd"/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活跃度</w:t>
            </w:r>
          </w:p>
        </w:tc>
        <w:tc>
          <w:tcPr>
            <w:tcW w:w="2095" w:type="dxa"/>
            <w:vAlign w:val="center"/>
          </w:tcPr>
          <w:p w14:paraId="1A9BF773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创业板成交额/万得全A成交额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6C70A874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对结果做20日均线（MA20）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8FB5464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color w:val="FF0000"/>
                <w:sz w:val="18"/>
                <w:szCs w:val="18"/>
                <w:highlight w:val="yellow"/>
              </w:rPr>
              <w:t>数据缺失：万得全A成交额</w:t>
            </w:r>
          </w:p>
        </w:tc>
        <w:tc>
          <w:tcPr>
            <w:tcW w:w="2168" w:type="dxa"/>
            <w:vAlign w:val="center"/>
          </w:tcPr>
          <w:p w14:paraId="1CE149AF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创业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板成交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活跃度高，情绪高涨。</w:t>
            </w:r>
          </w:p>
        </w:tc>
        <w:tc>
          <w:tcPr>
            <w:tcW w:w="2598" w:type="dxa"/>
            <w:vAlign w:val="center"/>
          </w:tcPr>
          <w:p w14:paraId="09D491C0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MA20是否高于布林轨（M=250，N=0.5）上轨或低于下轨或在通道内</w:t>
            </w:r>
          </w:p>
        </w:tc>
        <w:tc>
          <w:tcPr>
            <w:tcW w:w="849" w:type="dxa"/>
            <w:vAlign w:val="center"/>
          </w:tcPr>
          <w:p w14:paraId="3AE817B1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（1，-1，0）</w:t>
            </w:r>
          </w:p>
        </w:tc>
      </w:tr>
      <w:tr w:rsidR="00AA383B" w:rsidRPr="009F7C74" w14:paraId="5356B7E5" w14:textId="77777777" w:rsidTr="00DF11A7">
        <w:trPr>
          <w:jc w:val="center"/>
        </w:trPr>
        <w:tc>
          <w:tcPr>
            <w:tcW w:w="1048" w:type="dxa"/>
            <w:vAlign w:val="center"/>
          </w:tcPr>
          <w:p w14:paraId="103D23A1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融资融券数据</w:t>
            </w:r>
          </w:p>
        </w:tc>
        <w:tc>
          <w:tcPr>
            <w:tcW w:w="1048" w:type="dxa"/>
            <w:vAlign w:val="center"/>
          </w:tcPr>
          <w:p w14:paraId="148C8379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融资余额</w:t>
            </w:r>
            <w:proofErr w:type="gramStart"/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占自由</w:t>
            </w:r>
            <w:proofErr w:type="gramEnd"/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流通市值比</w:t>
            </w:r>
          </w:p>
        </w:tc>
        <w:tc>
          <w:tcPr>
            <w:tcW w:w="2095" w:type="dxa"/>
            <w:vAlign w:val="center"/>
          </w:tcPr>
          <w:p w14:paraId="6D9C8455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融资余额/A</w:t>
            </w:r>
            <w:proofErr w:type="gramStart"/>
            <w:r w:rsidRPr="009F7C74">
              <w:rPr>
                <w:rFonts w:asciiTheme="minorEastAsia" w:hAnsiTheme="minorEastAsia"/>
                <w:sz w:val="18"/>
                <w:szCs w:val="18"/>
              </w:rPr>
              <w:t>股自由</w:t>
            </w:r>
            <w:proofErr w:type="gramEnd"/>
            <w:r w:rsidRPr="009F7C74">
              <w:rPr>
                <w:rFonts w:asciiTheme="minorEastAsia" w:hAnsiTheme="minorEastAsia"/>
                <w:sz w:val="18"/>
                <w:szCs w:val="18"/>
              </w:rPr>
              <w:t>流通市值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288DA6BE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对结果做60日均线（MA60）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5D429639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color w:val="FF0000"/>
                <w:sz w:val="18"/>
                <w:szCs w:val="18"/>
                <w:highlight w:val="yellow"/>
              </w:rPr>
              <w:t>数据缺失</w:t>
            </w:r>
            <w:r w:rsidRPr="009F7C74">
              <w:rPr>
                <w:rFonts w:asciiTheme="minorEastAsia" w:hAnsiTheme="minorEastAsia" w:hint="eastAsia"/>
                <w:color w:val="FF0000"/>
                <w:sz w:val="18"/>
                <w:szCs w:val="18"/>
                <w:highlight w:val="yellow"/>
              </w:rPr>
              <w:t>：A</w:t>
            </w:r>
            <w:proofErr w:type="gramStart"/>
            <w:r w:rsidRPr="009F7C74">
              <w:rPr>
                <w:rFonts w:asciiTheme="minorEastAsia" w:hAnsiTheme="minorEastAsia" w:hint="eastAsia"/>
                <w:color w:val="FF0000"/>
                <w:sz w:val="18"/>
                <w:szCs w:val="18"/>
                <w:highlight w:val="yellow"/>
              </w:rPr>
              <w:t>股自由</w:t>
            </w:r>
            <w:proofErr w:type="gramEnd"/>
            <w:r w:rsidRPr="009F7C74">
              <w:rPr>
                <w:rFonts w:asciiTheme="minorEastAsia" w:hAnsiTheme="minorEastAsia" w:hint="eastAsia"/>
                <w:color w:val="FF0000"/>
                <w:sz w:val="18"/>
                <w:szCs w:val="18"/>
                <w:highlight w:val="yellow"/>
              </w:rPr>
              <w:t>流通市值</w:t>
            </w:r>
          </w:p>
        </w:tc>
        <w:tc>
          <w:tcPr>
            <w:tcW w:w="2168" w:type="dxa"/>
            <w:vAlign w:val="center"/>
          </w:tcPr>
          <w:p w14:paraId="5E89E252" w14:textId="77777777" w:rsidR="00AA383B" w:rsidRPr="003D6153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市场预期乐观，指标会持续一段时间的上行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6ABC46EB" w14:textId="77777777" w:rsidR="00AA383B" w:rsidRPr="003D6153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市场情绪较悲观，行情在到顶部之前融资余额占比会开始回落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53F98B1F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融资余额占比增加，投资者观点偏多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598" w:type="dxa"/>
            <w:vAlign w:val="center"/>
          </w:tcPr>
          <w:p w14:paraId="275B17BA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MA1是否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大于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MA60或小于</w:t>
            </w:r>
          </w:p>
        </w:tc>
        <w:tc>
          <w:tcPr>
            <w:tcW w:w="849" w:type="dxa"/>
            <w:vAlign w:val="center"/>
          </w:tcPr>
          <w:p w14:paraId="6CAA10E3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（1，-1）</w:t>
            </w:r>
          </w:p>
        </w:tc>
      </w:tr>
      <w:tr w:rsidR="00AA383B" w:rsidRPr="009F7C74" w14:paraId="36549D2A" w14:textId="77777777" w:rsidTr="00DF11A7">
        <w:trPr>
          <w:jc w:val="center"/>
        </w:trPr>
        <w:tc>
          <w:tcPr>
            <w:tcW w:w="1048" w:type="dxa"/>
            <w:vAlign w:val="center"/>
          </w:tcPr>
          <w:p w14:paraId="40D9A787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行业涨跌态势</w:t>
            </w:r>
          </w:p>
        </w:tc>
        <w:tc>
          <w:tcPr>
            <w:tcW w:w="1048" w:type="dxa"/>
            <w:vAlign w:val="center"/>
          </w:tcPr>
          <w:p w14:paraId="78FCCFFD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行业轮</w:t>
            </w:r>
            <w:proofErr w:type="gramStart"/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涨补涨程度</w:t>
            </w:r>
            <w:proofErr w:type="gramEnd"/>
          </w:p>
        </w:tc>
        <w:tc>
          <w:tcPr>
            <w:tcW w:w="2095" w:type="dxa"/>
            <w:vAlign w:val="center"/>
          </w:tcPr>
          <w:p w14:paraId="15C416F9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每日对各行业指数涨跌幅排序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1EB1FDE4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计算相邻两日排序序列的相关系数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2D65C67B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对相关系数序列做20日均线（MA20）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168" w:type="dxa"/>
            <w:vAlign w:val="center"/>
          </w:tcPr>
          <w:p w14:paraId="347C2E6E" w14:textId="77777777" w:rsidR="00AA383B" w:rsidRPr="003D6153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相关性高：今天</w:t>
            </w:r>
            <w:proofErr w:type="gramStart"/>
            <w:r w:rsidRPr="003D6153">
              <w:rPr>
                <w:rFonts w:asciiTheme="minorEastAsia" w:hAnsiTheme="minorEastAsia"/>
                <w:sz w:val="18"/>
                <w:szCs w:val="18"/>
              </w:rPr>
              <w:t>涨昨天</w:t>
            </w:r>
            <w:proofErr w:type="gramEnd"/>
            <w:r w:rsidRPr="003D6153">
              <w:rPr>
                <w:rFonts w:asciiTheme="minorEastAsia" w:hAnsiTheme="minorEastAsia"/>
                <w:sz w:val="18"/>
                <w:szCs w:val="18"/>
              </w:rPr>
              <w:t>也涨（轮涨）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1B0E1252" w14:textId="77777777" w:rsidR="00AA383B" w:rsidRPr="003D6153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相关性低：昨天不涨今天涨（补涨）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05E19DE6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D6153">
              <w:rPr>
                <w:rFonts w:asciiTheme="minorEastAsia" w:hAnsiTheme="minorEastAsia"/>
                <w:sz w:val="18"/>
                <w:szCs w:val="18"/>
              </w:rPr>
              <w:t>到达极值，分歧增加，顶部反转，底部反转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598" w:type="dxa"/>
            <w:vAlign w:val="center"/>
          </w:tcPr>
          <w:p w14:paraId="3B732652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MA20是否高于布林轨（M=250，N=1.25）上轨或低于下轨或在通道内</w:t>
            </w:r>
          </w:p>
        </w:tc>
        <w:tc>
          <w:tcPr>
            <w:tcW w:w="849" w:type="dxa"/>
            <w:vAlign w:val="center"/>
          </w:tcPr>
          <w:p w14:paraId="4B91E03F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（-1，1，0）</w:t>
            </w:r>
          </w:p>
        </w:tc>
      </w:tr>
      <w:tr w:rsidR="00AA383B" w:rsidRPr="009F7C74" w14:paraId="7D257EA1" w14:textId="77777777" w:rsidTr="00DF11A7">
        <w:trPr>
          <w:jc w:val="center"/>
        </w:trPr>
        <w:tc>
          <w:tcPr>
            <w:tcW w:w="1048" w:type="dxa"/>
            <w:vAlign w:val="center"/>
          </w:tcPr>
          <w:p w14:paraId="671E2AA6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RSI</w:t>
            </w:r>
          </w:p>
        </w:tc>
        <w:tc>
          <w:tcPr>
            <w:tcW w:w="1048" w:type="dxa"/>
            <w:vAlign w:val="center"/>
          </w:tcPr>
          <w:p w14:paraId="0B570CB5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沪深300RSI</w:t>
            </w:r>
          </w:p>
        </w:tc>
        <w:tc>
          <w:tcPr>
            <w:tcW w:w="2095" w:type="dxa"/>
            <w:vAlign w:val="center"/>
          </w:tcPr>
          <w:p w14:paraId="258F2C89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沪深300指数日线数据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00AC40C4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计算日收益率</w:t>
            </w:r>
          </w:p>
          <w:p w14:paraId="6B3D4D22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计算平均增益和平均损失（14日滚动）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29C4F875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RSI=100-100/(1+RS)，其中RS=平均增值/平均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减值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047C5D20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对RSI做20日均线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168" w:type="dxa"/>
            <w:vAlign w:val="center"/>
          </w:tcPr>
          <w:p w14:paraId="320D4614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反映</w:t>
            </w:r>
            <w:r w:rsidRPr="003D6153">
              <w:rPr>
                <w:rFonts w:asciiTheme="minorEastAsia" w:hAnsiTheme="minorEastAsia"/>
                <w:sz w:val="18"/>
                <w:szCs w:val="18"/>
              </w:rPr>
              <w:t>供求关系，RSI超过50表明市场上买方力量强势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598" w:type="dxa"/>
            <w:vAlign w:val="center"/>
          </w:tcPr>
          <w:p w14:paraId="4246429C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MA20是否高于布林轨（M=250，N=1）上轨或低于下轨或在通道内</w:t>
            </w:r>
          </w:p>
        </w:tc>
        <w:tc>
          <w:tcPr>
            <w:tcW w:w="849" w:type="dxa"/>
            <w:vAlign w:val="center"/>
          </w:tcPr>
          <w:p w14:paraId="1C76303E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（1，-1，0）</w:t>
            </w:r>
          </w:p>
        </w:tc>
      </w:tr>
      <w:tr w:rsidR="00AA383B" w:rsidRPr="009F7C74" w14:paraId="4924C8BD" w14:textId="77777777" w:rsidTr="00DF11A7">
        <w:trPr>
          <w:jc w:val="center"/>
        </w:trPr>
        <w:tc>
          <w:tcPr>
            <w:tcW w:w="1048" w:type="dxa"/>
            <w:vAlign w:val="center"/>
          </w:tcPr>
          <w:p w14:paraId="2277EAF7" w14:textId="77777777" w:rsidR="00AA383B" w:rsidRPr="00B41D0E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41D0E">
              <w:rPr>
                <w:rFonts w:asciiTheme="minorEastAsia" w:hAnsiTheme="minorEastAsia" w:hint="eastAsia"/>
                <w:sz w:val="18"/>
                <w:szCs w:val="18"/>
              </w:rPr>
              <w:t>资金流</w:t>
            </w:r>
          </w:p>
        </w:tc>
        <w:tc>
          <w:tcPr>
            <w:tcW w:w="1048" w:type="dxa"/>
            <w:vAlign w:val="center"/>
          </w:tcPr>
          <w:p w14:paraId="6D7DBE99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color w:val="FF0000"/>
                <w:sz w:val="18"/>
                <w:szCs w:val="18"/>
                <w:highlight w:val="yellow"/>
              </w:rPr>
              <w:t>主力资金净流入／主力资金流入</w:t>
            </w:r>
          </w:p>
        </w:tc>
        <w:tc>
          <w:tcPr>
            <w:tcW w:w="2095" w:type="dxa"/>
            <w:vAlign w:val="center"/>
          </w:tcPr>
          <w:p w14:paraId="0C05EE9E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数据缺失</w:t>
            </w:r>
          </w:p>
        </w:tc>
        <w:tc>
          <w:tcPr>
            <w:tcW w:w="2168" w:type="dxa"/>
            <w:vAlign w:val="center"/>
          </w:tcPr>
          <w:p w14:paraId="5A9FE0C3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正向指标</w:t>
            </w:r>
          </w:p>
        </w:tc>
        <w:tc>
          <w:tcPr>
            <w:tcW w:w="2598" w:type="dxa"/>
            <w:vAlign w:val="center"/>
          </w:tcPr>
          <w:p w14:paraId="427E8FFA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MA20是否高于布林轨（M=250，N=0.5）上轨或低于下轨或在通道内</w:t>
            </w:r>
          </w:p>
        </w:tc>
        <w:tc>
          <w:tcPr>
            <w:tcW w:w="849" w:type="dxa"/>
            <w:vAlign w:val="center"/>
          </w:tcPr>
          <w:p w14:paraId="0C663C52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（1，-1，0）</w:t>
            </w:r>
          </w:p>
        </w:tc>
      </w:tr>
      <w:tr w:rsidR="00AA383B" w:rsidRPr="009F7C74" w14:paraId="2CA2F186" w14:textId="77777777" w:rsidTr="00DF11A7">
        <w:trPr>
          <w:jc w:val="center"/>
        </w:trPr>
        <w:tc>
          <w:tcPr>
            <w:tcW w:w="1048" w:type="dxa"/>
            <w:vMerge w:val="restart"/>
            <w:vAlign w:val="center"/>
          </w:tcPr>
          <w:p w14:paraId="2335E848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期权</w:t>
            </w:r>
          </w:p>
        </w:tc>
        <w:tc>
          <w:tcPr>
            <w:tcW w:w="1048" w:type="dxa"/>
            <w:vAlign w:val="center"/>
          </w:tcPr>
          <w:p w14:paraId="661CE207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" w:name="OLE_LINK6"/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认购成交量／认沽成交量</w:t>
            </w:r>
            <w:bookmarkEnd w:id="1"/>
          </w:p>
        </w:tc>
        <w:tc>
          <w:tcPr>
            <w:tcW w:w="2095" w:type="dxa"/>
            <w:vAlign w:val="center"/>
          </w:tcPr>
          <w:p w14:paraId="7D181881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实际计算：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PCR=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认沽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成交量／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认购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成交量</w:t>
            </w:r>
          </w:p>
        </w:tc>
        <w:tc>
          <w:tcPr>
            <w:tcW w:w="2168" w:type="dxa"/>
            <w:vAlign w:val="center"/>
          </w:tcPr>
          <w:p w14:paraId="207117A2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短期均线小于长期均线，看涨。</w:t>
            </w:r>
          </w:p>
        </w:tc>
        <w:tc>
          <w:tcPr>
            <w:tcW w:w="2598" w:type="dxa"/>
            <w:vAlign w:val="center"/>
          </w:tcPr>
          <w:p w14:paraId="2DA4649D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MA20大于MA60或小于</w:t>
            </w:r>
          </w:p>
        </w:tc>
        <w:tc>
          <w:tcPr>
            <w:tcW w:w="849" w:type="dxa"/>
            <w:vAlign w:val="center"/>
          </w:tcPr>
          <w:p w14:paraId="16B4AECF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（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1，1）</w:t>
            </w:r>
          </w:p>
        </w:tc>
      </w:tr>
      <w:tr w:rsidR="00AA383B" w:rsidRPr="009F7C74" w14:paraId="44264190" w14:textId="77777777" w:rsidTr="00DF11A7">
        <w:trPr>
          <w:jc w:val="center"/>
        </w:trPr>
        <w:tc>
          <w:tcPr>
            <w:tcW w:w="1048" w:type="dxa"/>
            <w:vMerge/>
            <w:vAlign w:val="center"/>
          </w:tcPr>
          <w:p w14:paraId="02186F9C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14:paraId="7E7E638C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VIX（300）</w:t>
            </w:r>
          </w:p>
        </w:tc>
        <w:tc>
          <w:tcPr>
            <w:tcW w:w="2095" w:type="dxa"/>
            <w:vAlign w:val="center"/>
          </w:tcPr>
          <w:p w14:paraId="51BDF4B0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选取50ETF期权／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300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近月与次月最接近平价的4个看涨和4个看跌期权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7F60D408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使用Black-Scholes模型计算每个期权的隐含波动率（IV）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40B33DC7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加权平均计算VIX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168" w:type="dxa"/>
            <w:vAlign w:val="center"/>
          </w:tcPr>
          <w:p w14:paraId="3755D356" w14:textId="77777777" w:rsidR="00AA383B" w:rsidRPr="00B41D0E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41D0E">
              <w:rPr>
                <w:rFonts w:asciiTheme="minorEastAsia" w:hAnsiTheme="minorEastAsia"/>
                <w:sz w:val="18"/>
                <w:szCs w:val="18"/>
              </w:rPr>
              <w:t>市场大涨或大跌、波动率升高的时候，VIX指数会快速飙升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72994E20" w14:textId="77777777" w:rsidR="00AA383B" w:rsidRPr="00B41D0E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41D0E">
              <w:rPr>
                <w:rFonts w:asciiTheme="minorEastAsia" w:hAnsiTheme="minorEastAsia"/>
                <w:sz w:val="18"/>
                <w:szCs w:val="18"/>
              </w:rPr>
              <w:t>PCR下降，市场看多，VIX变化和价格变化同向（VIX越大越好，上涨时的波动）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7E571131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41D0E">
              <w:rPr>
                <w:rFonts w:asciiTheme="minorEastAsia" w:hAnsiTheme="minorEastAsia"/>
                <w:sz w:val="18"/>
                <w:szCs w:val="18"/>
              </w:rPr>
              <w:t>PCR上升，市场看空，VIX与价格变化反向（市场恐慌情绪）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2598" w:type="dxa"/>
            <w:vAlign w:val="center"/>
          </w:tcPr>
          <w:p w14:paraId="6D3B7078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MA1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vix_300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是否大于MA20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9F7C74">
              <w:rPr>
                <w:rFonts w:asciiTheme="minorEastAsia" w:hAnsiTheme="minorEastAsia"/>
                <w:sz w:val="18"/>
                <w:szCs w:val="18"/>
              </w:rPr>
              <w:t>option_data</w:t>
            </w:r>
            <w:proofErr w:type="spellEnd"/>
            <w:r w:rsidRPr="009F7C74">
              <w:rPr>
                <w:rFonts w:asciiTheme="minorEastAsia" w:hAnsiTheme="minorEastAsia"/>
                <w:sz w:val="18"/>
                <w:szCs w:val="18"/>
              </w:rPr>
              <w:t>['vix_ma20']</w:t>
            </w:r>
            <w:r w:rsidRPr="009F7C7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9F7C74">
              <w:rPr>
                <w:rFonts w:asciiTheme="minorEastAsia" w:hAnsiTheme="minorEastAsia"/>
                <w:sz w:val="18"/>
                <w:szCs w:val="18"/>
              </w:rPr>
              <w:t>或小于</w:t>
            </w:r>
          </w:p>
        </w:tc>
        <w:tc>
          <w:tcPr>
            <w:tcW w:w="849" w:type="dxa"/>
            <w:vAlign w:val="center"/>
          </w:tcPr>
          <w:p w14:paraId="1C56AC8C" w14:textId="77777777" w:rsidR="00AA383B" w:rsidRPr="009F7C74" w:rsidRDefault="00AA383B" w:rsidP="00DF11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7C74">
              <w:rPr>
                <w:rFonts w:asciiTheme="minorEastAsia" w:hAnsiTheme="minorEastAsia"/>
                <w:sz w:val="18"/>
                <w:szCs w:val="18"/>
              </w:rPr>
              <w:t>PCR变量*（1，-1）</w:t>
            </w:r>
          </w:p>
        </w:tc>
      </w:tr>
      <w:bookmarkEnd w:id="0"/>
    </w:tbl>
    <w:p w14:paraId="4ECBFAAA" w14:textId="77777777" w:rsidR="00AA383B" w:rsidRPr="00AA383B" w:rsidRDefault="00AA383B" w:rsidP="00AA383B"/>
    <w:p w14:paraId="1BBB0E92" w14:textId="5294B60A" w:rsidR="007C3CD3" w:rsidRDefault="007C3CD3" w:rsidP="007C3CD3">
      <w:pPr>
        <w:pStyle w:val="1"/>
      </w:pPr>
      <w:r>
        <w:rPr>
          <w:rFonts w:hint="eastAsia"/>
        </w:rPr>
        <w:lastRenderedPageBreak/>
        <w:t>为什么没有继续</w:t>
      </w:r>
    </w:p>
    <w:p w14:paraId="1B486995" w14:textId="77777777" w:rsidR="00B4519C" w:rsidRDefault="00B4519C" w:rsidP="00B4519C"/>
    <w:p w14:paraId="6477A5C3" w14:textId="379132B2" w:rsidR="00B4519C" w:rsidRDefault="00B4519C" w:rsidP="00B4519C">
      <w:r>
        <w:rPr>
          <w:rFonts w:hint="eastAsia"/>
        </w:rPr>
        <w:t>首先，该策略选取了10个指标进行打分，数据量较大，计算量也较大，比较麻烦；</w:t>
      </w:r>
    </w:p>
    <w:p w14:paraId="65CE0616" w14:textId="77777777" w:rsidR="00B4519C" w:rsidRDefault="00B4519C" w:rsidP="00B4519C">
      <w:r>
        <w:rPr>
          <w:rFonts w:hint="eastAsia"/>
        </w:rPr>
        <w:t>其次，该策略将10个指标进行等权打分，并进行了参数调整，这种做法存疑</w:t>
      </w:r>
    </w:p>
    <w:p w14:paraId="0E7D469B" w14:textId="332530C5" w:rsidR="00B4519C" w:rsidRDefault="00B4519C" w:rsidP="00B4519C">
      <w:r>
        <w:rPr>
          <w:rFonts w:hint="eastAsia"/>
        </w:rPr>
        <w:t>最后，根据</w:t>
      </w:r>
      <w:proofErr w:type="gramStart"/>
      <w:r>
        <w:rPr>
          <w:rFonts w:hint="eastAsia"/>
        </w:rPr>
        <w:t>报告回测结果</w:t>
      </w:r>
      <w:proofErr w:type="gramEnd"/>
      <w:r>
        <w:rPr>
          <w:rFonts w:hint="eastAsia"/>
        </w:rPr>
        <w:t>该策略效果不好，胜率较低</w:t>
      </w:r>
    </w:p>
    <w:p w14:paraId="01E074B3" w14:textId="0268AE95" w:rsidR="00B4519C" w:rsidRPr="00B4519C" w:rsidRDefault="00B4519C" w:rsidP="00B4519C">
      <w:r w:rsidRPr="00B4519C">
        <w:rPr>
          <w:noProof/>
        </w:rPr>
        <w:drawing>
          <wp:inline distT="0" distB="0" distL="0" distR="0" wp14:anchorId="04FE2B67" wp14:editId="052A4100">
            <wp:extent cx="5274310" cy="2719070"/>
            <wp:effectExtent l="0" t="0" r="0" b="0"/>
            <wp:docPr id="906120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20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19C" w:rsidRPr="00B45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1FB79" w14:textId="77777777" w:rsidR="00CC6A41" w:rsidRDefault="00CC6A41" w:rsidP="0001120A">
      <w:r>
        <w:separator/>
      </w:r>
    </w:p>
  </w:endnote>
  <w:endnote w:type="continuationSeparator" w:id="0">
    <w:p w14:paraId="15684FB0" w14:textId="77777777" w:rsidR="00CC6A41" w:rsidRDefault="00CC6A41" w:rsidP="0001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YaHei">
    <w:altName w:val="Microsoft YaHei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MicrosoftYaHei-Bold">
    <w:altName w:val="Microsoft YaHei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9E9F" w14:textId="77777777" w:rsidR="0065668D" w:rsidRDefault="006566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448FF" w14:textId="77777777" w:rsidR="0065668D" w:rsidRDefault="006566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58409" w14:textId="77777777" w:rsidR="0065668D" w:rsidRDefault="006566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4515C" w14:textId="77777777" w:rsidR="00CC6A41" w:rsidRDefault="00CC6A41" w:rsidP="0001120A">
      <w:r>
        <w:separator/>
      </w:r>
    </w:p>
  </w:footnote>
  <w:footnote w:type="continuationSeparator" w:id="0">
    <w:p w14:paraId="37BFEF43" w14:textId="77777777" w:rsidR="00CC6A41" w:rsidRDefault="00CC6A41" w:rsidP="00011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9D974" w14:textId="77777777" w:rsidR="0065668D" w:rsidRDefault="006566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D96CD" w14:textId="77777777" w:rsidR="0065668D" w:rsidRDefault="0065668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3B348" w14:textId="77777777" w:rsidR="0065668D" w:rsidRDefault="006566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548"/>
    <w:multiLevelType w:val="multilevel"/>
    <w:tmpl w:val="7B2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670B8"/>
    <w:multiLevelType w:val="multilevel"/>
    <w:tmpl w:val="47E8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41052"/>
    <w:multiLevelType w:val="multilevel"/>
    <w:tmpl w:val="AD6E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059B7"/>
    <w:multiLevelType w:val="multilevel"/>
    <w:tmpl w:val="2114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517535">
    <w:abstractNumId w:val="1"/>
  </w:num>
  <w:num w:numId="2" w16cid:durableId="181866345">
    <w:abstractNumId w:val="0"/>
  </w:num>
  <w:num w:numId="3" w16cid:durableId="721634688">
    <w:abstractNumId w:val="2"/>
  </w:num>
  <w:num w:numId="4" w16cid:durableId="1507405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417"/>
    <w:rsid w:val="0000449D"/>
    <w:rsid w:val="0001120A"/>
    <w:rsid w:val="0005429A"/>
    <w:rsid w:val="000560A2"/>
    <w:rsid w:val="000F05CC"/>
    <w:rsid w:val="00114FC7"/>
    <w:rsid w:val="001638C3"/>
    <w:rsid w:val="00171AC2"/>
    <w:rsid w:val="001B6AD9"/>
    <w:rsid w:val="001D53B9"/>
    <w:rsid w:val="001D72D4"/>
    <w:rsid w:val="001F1C4D"/>
    <w:rsid w:val="002107B4"/>
    <w:rsid w:val="002150B6"/>
    <w:rsid w:val="0022730A"/>
    <w:rsid w:val="00281455"/>
    <w:rsid w:val="00317CC0"/>
    <w:rsid w:val="00461AF7"/>
    <w:rsid w:val="004634F4"/>
    <w:rsid w:val="00471850"/>
    <w:rsid w:val="00496610"/>
    <w:rsid w:val="004D7164"/>
    <w:rsid w:val="005C648A"/>
    <w:rsid w:val="005C7D9D"/>
    <w:rsid w:val="0060018E"/>
    <w:rsid w:val="0065668D"/>
    <w:rsid w:val="00670417"/>
    <w:rsid w:val="0068684B"/>
    <w:rsid w:val="0069290E"/>
    <w:rsid w:val="00756D69"/>
    <w:rsid w:val="00787BB5"/>
    <w:rsid w:val="007C3CD3"/>
    <w:rsid w:val="008758A8"/>
    <w:rsid w:val="008E2ED3"/>
    <w:rsid w:val="009672F4"/>
    <w:rsid w:val="00A50E90"/>
    <w:rsid w:val="00AA383B"/>
    <w:rsid w:val="00AE357B"/>
    <w:rsid w:val="00B22115"/>
    <w:rsid w:val="00B4519C"/>
    <w:rsid w:val="00B77EE8"/>
    <w:rsid w:val="00B82A07"/>
    <w:rsid w:val="00C42F44"/>
    <w:rsid w:val="00C5134D"/>
    <w:rsid w:val="00C7513E"/>
    <w:rsid w:val="00CC6A41"/>
    <w:rsid w:val="00CD327C"/>
    <w:rsid w:val="00D072E8"/>
    <w:rsid w:val="00D91C6A"/>
    <w:rsid w:val="00DA57D1"/>
    <w:rsid w:val="00DA74A9"/>
    <w:rsid w:val="00E14982"/>
    <w:rsid w:val="00E25C1D"/>
    <w:rsid w:val="00E440E6"/>
    <w:rsid w:val="00E51BCF"/>
    <w:rsid w:val="00EE068A"/>
    <w:rsid w:val="00F75658"/>
    <w:rsid w:val="00FB2CC6"/>
    <w:rsid w:val="00FD5BBC"/>
    <w:rsid w:val="00FE3C1B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767CCA"/>
  <w15:chartTrackingRefBased/>
  <w15:docId w15:val="{2CDF663D-2F7E-4883-8BDF-0E08CEB5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4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4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4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4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4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4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4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2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2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04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04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041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04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04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04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0417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670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67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670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670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670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7041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041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0417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670417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670417"/>
    <w:rPr>
      <w:b/>
      <w:bCs/>
      <w:smallCaps/>
      <w:color w:val="0F4761" w:themeColor="accent1" w:themeShade="BF"/>
      <w:spacing w:val="5"/>
    </w:rPr>
  </w:style>
  <w:style w:type="table" w:styleId="af2">
    <w:name w:val="Table Grid"/>
    <w:basedOn w:val="a1"/>
    <w:uiPriority w:val="39"/>
    <w:rsid w:val="00AA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9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49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8183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7244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903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50461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117095116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14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21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3119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9994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77935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135457450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999</Words>
  <Characters>1220</Characters>
  <Application>Microsoft Office Word</Application>
  <DocSecurity>0</DocSecurity>
  <Lines>152</Lines>
  <Paragraphs>110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boyao peng</dc:creator>
  <cp:keywords/>
  <dc:description/>
  <cp:lastModifiedBy>boyao peng</cp:lastModifiedBy>
  <cp:revision>4</cp:revision>
  <dcterms:created xsi:type="dcterms:W3CDTF">2025-07-09T08:09:00Z</dcterms:created>
  <dcterms:modified xsi:type="dcterms:W3CDTF">2025-07-10T09:03:00Z</dcterms:modified>
</cp:coreProperties>
</file>