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87"/>
        <w:gridCol w:w="1587"/>
      </w:tblGrid>
      <w:tr w14:paraId="3861E0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64" w:hRule="atLeast"/>
          <w:jc w:val="center"/>
        </w:trPr>
        <w:tc>
          <w:tcPr>
            <w:tcW w:w="8280" w:type="dxa"/>
            <w:tcMar>
              <w:top w:w="0" w:type="dxa"/>
              <w:left w:w="0" w:type="dxa"/>
              <w:bottom w:w="25" w:type="dxa"/>
              <w:right w:w="40" w:type="dxa"/>
            </w:tcMar>
            <w:vAlign w:val="center"/>
          </w:tcPr>
          <w:p w14:paraId="2433E24D">
            <w:pPr>
              <w:keepNext/>
              <w:keepLines/>
              <w:widowControl w:val="0"/>
              <w:spacing w:before="0" w:after="8" w:line="240" w:lineRule="auto"/>
            </w:pPr>
            <w:r>
              <w:rPr>
                <w:rFonts w:ascii="Arial" w:hAnsi="Arial" w:eastAsia="微软雅黑"/>
                <w:b/>
                <w:color w:val="1F4E79"/>
                <w:sz w:val="43"/>
              </w:rPr>
              <w:t>彭博裕</w:t>
            </w:r>
            <w:r>
              <w:rPr>
                <w:rFonts w:ascii="Arial" w:hAnsi="Arial" w:eastAsia="微软雅黑"/>
                <w:b/>
                <w:color w:val="1F4E79"/>
                <w:sz w:val="21"/>
              </w:rPr>
              <w:t xml:space="preserve">  </w:t>
            </w:r>
            <w:r>
              <w:rPr>
                <w:rFonts w:hint="eastAsia"/>
                <w:b/>
                <w:color w:val="1F4E79"/>
                <w:sz w:val="21"/>
                <w:lang w:val="en-US" w:eastAsia="zh-CN"/>
              </w:rPr>
              <w:t xml:space="preserve">                           </w:t>
            </w:r>
            <w:bookmarkStart w:id="0" w:name="_GoBack"/>
            <w:bookmarkEnd w:id="0"/>
            <w:r>
              <w:rPr>
                <w:rFonts w:ascii="Arial" w:hAnsi="Arial" w:eastAsia="微软雅黑"/>
                <w:b/>
                <w:color w:val="1F4E79"/>
                <w:sz w:val="21"/>
              </w:rPr>
              <w:t xml:space="preserve"> 求职意向：嵌入式软件工程师</w:t>
            </w:r>
          </w:p>
          <w:p w14:paraId="624AEFB6">
            <w:pPr>
              <w:keepNext/>
              <w:keepLines/>
              <w:widowControl w:val="0"/>
              <w:spacing w:before="200" w:after="9" w:line="240" w:lineRule="auto"/>
            </w:pPr>
            <w:r>
              <w:rPr>
                <w:rFonts w:ascii="Arial" w:hAnsi="Arial" w:eastAsia="微软雅黑"/>
                <w:b w:val="0"/>
                <w:color w:val="202733"/>
                <w:sz w:val="18"/>
                <w:szCs w:val="18"/>
              </w:rPr>
              <w:t xml:space="preserve">电话：17668025109 </w:t>
            </w:r>
            <w:r>
              <w:rPr>
                <w:rFonts w:hint="eastAsia"/>
                <w:b w:val="0"/>
                <w:color w:val="202733"/>
                <w:sz w:val="18"/>
                <w:szCs w:val="18"/>
                <w:lang w:val="en-US" w:eastAsia="zh-CN"/>
              </w:rPr>
              <w:t xml:space="preserve">                   </w:t>
            </w:r>
            <w:r>
              <w:rPr>
                <w:rFonts w:ascii="Arial" w:hAnsi="Arial" w:eastAsia="微软雅黑"/>
                <w:b w:val="0"/>
                <w:color w:val="202733"/>
                <w:sz w:val="18"/>
                <w:szCs w:val="18"/>
              </w:rPr>
              <w:t xml:space="preserve">  邮箱：pbyuqianrushi@163.com </w:t>
            </w:r>
            <w:r>
              <w:rPr>
                <w:rFonts w:hint="eastAsia"/>
                <w:b w:val="0"/>
                <w:color w:val="202733"/>
                <w:sz w:val="18"/>
                <w:szCs w:val="18"/>
                <w:lang w:val="en-US" w:eastAsia="zh-CN"/>
              </w:rPr>
              <w:t xml:space="preserve">                      </w:t>
            </w:r>
            <w:r>
              <w:rPr>
                <w:rFonts w:ascii="Arial" w:hAnsi="Arial" w:eastAsia="微软雅黑"/>
                <w:b w:val="0"/>
                <w:color w:val="202733"/>
                <w:sz w:val="18"/>
                <w:szCs w:val="18"/>
              </w:rPr>
              <w:t xml:space="preserve">  2027届</w:t>
            </w:r>
          </w:p>
        </w:tc>
        <w:tc>
          <w:tcPr>
            <w:tcW w:w="208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793F55">
            <w:pPr>
              <w:spacing w:after="0"/>
              <w:jc w:val="right"/>
            </w:pPr>
            <w:r>
              <w:drawing>
                <wp:inline distT="0" distB="0" distL="114300" distR="114300">
                  <wp:extent cx="866775" cy="1214120"/>
                  <wp:effectExtent l="0" t="0" r="9525" b="508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775" cy="1214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A3F8A1">
      <w:pPr>
        <w:keepNext/>
        <w:keepLines/>
        <w:widowControl w:val="0"/>
        <w:pBdr>
          <w:bottom w:val="single" w:color="1F4E79" w:sz="12" w:space="1"/>
        </w:pBdr>
        <w:spacing w:before="0" w:after="10" w:line="197" w:lineRule="auto"/>
      </w:pPr>
      <w:r>
        <w:rPr>
          <w:rFonts w:ascii="Arial" w:hAnsi="Arial" w:eastAsia="微软雅黑"/>
          <w:b/>
          <w:color w:val="1F4E79"/>
          <w:sz w:val="22"/>
        </w:rPr>
        <w:t>教育背景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9"/>
        <w:gridCol w:w="2609"/>
        <w:gridCol w:w="2609"/>
        <w:gridCol w:w="2609"/>
      </w:tblGrid>
      <w:tr w14:paraId="60A7EA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19DD0D">
            <w:pPr>
              <w:keepNext w:val="0"/>
              <w:keepLines/>
              <w:widowControl w:val="0"/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color w:val="202733"/>
                <w:sz w:val="18"/>
              </w:rPr>
              <w:t>2023.09—2027.06</w:t>
            </w:r>
          </w:p>
        </w:tc>
        <w:tc>
          <w:tcPr>
            <w:tcW w:w="26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B93F9C">
            <w:pPr>
              <w:keepNext w:val="0"/>
              <w:keepLines/>
              <w:widowControl w:val="0"/>
              <w:spacing w:before="0" w:after="0" w:line="240" w:lineRule="auto"/>
            </w:pPr>
            <w:r>
              <w:rPr>
                <w:rFonts w:ascii="Arial" w:hAnsi="Arial" w:eastAsia="微软雅黑"/>
                <w:b/>
                <w:color w:val="202733"/>
                <w:sz w:val="18"/>
              </w:rPr>
              <w:t>山东建筑大学</w:t>
            </w:r>
          </w:p>
        </w:tc>
        <w:tc>
          <w:tcPr>
            <w:tcW w:w="26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A54B40">
            <w:pPr>
              <w:keepNext w:val="0"/>
              <w:keepLines/>
              <w:widowControl w:val="0"/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color w:val="202733"/>
                <w:sz w:val="18"/>
              </w:rPr>
              <w:t>物联网工程｜本科</w:t>
            </w:r>
          </w:p>
        </w:tc>
        <w:tc>
          <w:tcPr>
            <w:tcW w:w="26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491D29">
            <w:pPr>
              <w:keepNext w:val="0"/>
              <w:keepLines/>
              <w:widowControl w:val="0"/>
              <w:spacing w:before="0" w:after="0" w:line="240" w:lineRule="auto"/>
              <w:jc w:val="right"/>
            </w:pPr>
            <w:r>
              <w:rPr>
                <w:rFonts w:ascii="Arial" w:hAnsi="Arial" w:eastAsia="微软雅黑"/>
                <w:b w:val="0"/>
                <w:color w:val="202733"/>
                <w:sz w:val="18"/>
              </w:rPr>
              <w:t>专业综合测评排名前10%</w:t>
            </w:r>
          </w:p>
        </w:tc>
      </w:tr>
    </w:tbl>
    <w:p w14:paraId="1E1B62B4">
      <w:pPr>
        <w:keepNext/>
        <w:keepLines/>
        <w:widowControl w:val="0"/>
        <w:pBdr>
          <w:bottom w:val="single" w:color="1F4E79" w:sz="12" w:space="1"/>
        </w:pBdr>
        <w:spacing w:before="20" w:after="10" w:line="197" w:lineRule="auto"/>
      </w:pPr>
      <w:r>
        <w:rPr>
          <w:rFonts w:ascii="Arial" w:hAnsi="Arial" w:eastAsia="微软雅黑"/>
          <w:b/>
          <w:color w:val="1F4E79"/>
          <w:sz w:val="22"/>
        </w:rPr>
        <w:t>竞赛与荣誉</w:t>
      </w:r>
    </w:p>
    <w:p w14:paraId="108BBAE1">
      <w:pPr>
        <w:keepNext w:val="0"/>
        <w:keepLines/>
        <w:widowControl w:val="0"/>
        <w:spacing w:before="0" w:after="3" w:line="197" w:lineRule="auto"/>
      </w:pPr>
      <w:r>
        <w:rPr>
          <w:rFonts w:ascii="Arial" w:hAnsi="Arial" w:eastAsia="微软雅黑"/>
          <w:b/>
          <w:color w:val="202733"/>
          <w:sz w:val="18"/>
        </w:rPr>
        <w:t>比赛获奖：</w:t>
      </w:r>
      <w:r>
        <w:rPr>
          <w:rFonts w:ascii="Arial" w:hAnsi="Arial" w:eastAsia="微软雅黑"/>
          <w:b w:val="0"/>
          <w:color w:val="202733"/>
          <w:sz w:val="18"/>
        </w:rPr>
        <w:t>全国大学生电子设计竞赛省级二等奖（2025）；蓝桥杯省级三等奖（2025）。</w:t>
      </w:r>
    </w:p>
    <w:p w14:paraId="2FFC6D63">
      <w:pPr>
        <w:keepNext w:val="0"/>
        <w:keepLines/>
        <w:widowControl w:val="0"/>
        <w:spacing w:before="0" w:after="3" w:line="197" w:lineRule="auto"/>
      </w:pPr>
      <w:r>
        <w:rPr>
          <w:rFonts w:ascii="Arial" w:hAnsi="Arial" w:eastAsia="微软雅黑"/>
          <w:b/>
          <w:color w:val="202733"/>
          <w:sz w:val="18"/>
        </w:rPr>
        <w:t>证书荣誉：</w:t>
      </w:r>
      <w:r>
        <w:rPr>
          <w:rFonts w:ascii="Arial" w:hAnsi="Arial" w:eastAsia="微软雅黑"/>
          <w:b w:val="0"/>
          <w:color w:val="202733"/>
          <w:sz w:val="18"/>
        </w:rPr>
        <w:t>英语四级（CET-4）；三好学生、优秀学生、优秀共青团员；优秀实验项目。</w:t>
      </w:r>
    </w:p>
    <w:p w14:paraId="26DB8DD6">
      <w:pPr>
        <w:keepNext/>
        <w:keepLines/>
        <w:widowControl w:val="0"/>
        <w:pBdr>
          <w:bottom w:val="single" w:color="1F4E79" w:sz="12" w:space="1"/>
        </w:pBdr>
        <w:spacing w:before="20" w:after="10" w:line="197" w:lineRule="auto"/>
      </w:pPr>
      <w:r>
        <w:rPr>
          <w:rFonts w:ascii="Arial" w:hAnsi="Arial" w:eastAsia="微软雅黑"/>
          <w:b/>
          <w:color w:val="1F4E79"/>
          <w:sz w:val="22"/>
        </w:rPr>
        <w:t>项目经历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00"/>
        <w:gridCol w:w="3938"/>
      </w:tblGrid>
      <w:tr w14:paraId="2E5896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5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39625A">
            <w:pPr>
              <w:keepNext/>
              <w:keepLines/>
              <w:widowControl w:val="0"/>
              <w:spacing w:before="5" w:after="2" w:line="240" w:lineRule="auto"/>
            </w:pPr>
            <w:r>
              <w:rPr>
                <w:rFonts w:ascii="Arial" w:hAnsi="Arial" w:eastAsia="微软雅黑"/>
                <w:b/>
                <w:color w:val="202733"/>
                <w:sz w:val="20"/>
              </w:rPr>
              <w:t>基于STM32与freertos的综合测量平台</w:t>
            </w:r>
          </w:p>
        </w:tc>
        <w:tc>
          <w:tcPr>
            <w:tcW w:w="393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B0002E">
            <w:pPr>
              <w:keepNext/>
              <w:keepLines/>
              <w:widowControl w:val="0"/>
              <w:spacing w:before="5" w:after="2" w:line="240" w:lineRule="auto"/>
              <w:jc w:val="right"/>
            </w:pPr>
            <w:r>
              <w:rPr>
                <w:rFonts w:ascii="Arial" w:hAnsi="Arial" w:eastAsia="微软雅黑"/>
                <w:b/>
                <w:color w:val="202733"/>
                <w:sz w:val="20"/>
                <w:szCs w:val="20"/>
              </w:rPr>
              <w:t>FreeRTOS · 实时采集 · 事件驱动</w:t>
            </w:r>
          </w:p>
        </w:tc>
      </w:tr>
    </w:tbl>
    <w:p w14:paraId="0C174CD0">
      <w:pPr>
        <w:keepNext w:val="0"/>
        <w:keepLines/>
        <w:widowControl w:val="0"/>
        <w:spacing w:before="0" w:after="5" w:line="197" w:lineRule="auto"/>
      </w:pPr>
      <w:r>
        <w:rPr>
          <w:rFonts w:ascii="Arial" w:hAnsi="Arial" w:eastAsia="微软雅黑"/>
          <w:b/>
          <w:sz w:val="18"/>
        </w:rPr>
        <w:t>项目简介：</w:t>
      </w:r>
      <w:r>
        <w:rPr>
          <w:rFonts w:ascii="Arial" w:hAnsi="Arial" w:eastAsia="微软雅黑"/>
          <w:b w:val="0"/>
          <w:sz w:val="18"/>
        </w:rPr>
        <w:t>集成示波器、数字万用表、可调直流电源与信号发生器，支持波形实时显示及频率、幅度测量，频率测量误差小于1%，电压与电阻测量误差1%；支持DC-DC升压电路实现直流稳压输出；信号发生器输出正弦、方波等，频率覆盖50 Hz～80 kHz。</w:t>
      </w:r>
    </w:p>
    <w:p w14:paraId="23109656">
      <w:pPr>
        <w:keepNext w:val="0"/>
        <w:keepLines/>
        <w:widowControl w:val="0"/>
        <w:spacing w:before="0" w:after="5" w:line="197" w:lineRule="auto"/>
      </w:pPr>
      <w:r>
        <w:rPr>
          <w:rFonts w:ascii="Arial" w:hAnsi="Arial" w:eastAsia="微软雅黑"/>
          <w:b/>
          <w:sz w:val="18"/>
        </w:rPr>
        <w:t>项目职责：</w:t>
      </w:r>
      <w:r>
        <w:rPr>
          <w:rFonts w:ascii="Arial" w:hAnsi="Arial" w:eastAsia="微软雅黑"/>
          <w:b w:val="0"/>
          <w:sz w:val="18"/>
        </w:rPr>
        <w:t>负责软件架构设计与系统开发调试并参与硬件联调。</w:t>
      </w:r>
    </w:p>
    <w:p w14:paraId="4BF02FE8">
      <w:pPr>
        <w:keepNext w:val="0"/>
        <w:keepLines/>
        <w:widowControl w:val="0"/>
        <w:spacing w:before="0" w:after="4" w:line="197" w:lineRule="auto"/>
        <w:ind w:left="204" w:hanging="204"/>
      </w:pPr>
      <w:r>
        <w:rPr>
          <w:rFonts w:ascii="Arial" w:hAnsi="Arial" w:eastAsia="微软雅黑"/>
          <w:b/>
          <w:color w:val="202733"/>
          <w:sz w:val="18"/>
        </w:rPr>
        <w:t>• 架构交互：</w:t>
      </w:r>
      <w:r>
        <w:rPr>
          <w:rFonts w:ascii="Arial" w:hAnsi="Arial" w:eastAsia="微软雅黑"/>
          <w:b w:val="0"/>
          <w:color w:val="202733"/>
          <w:sz w:val="18"/>
        </w:rPr>
        <w:t>独立完成FreeRTOS移植与软件分层设计，结合邮箱、事件组及信号量，实现最新测量值传递、LCD屏幕按需局部刷新与DMAC传输同步，保障了多并发任务发生时各部分数据实时性。</w:t>
      </w:r>
    </w:p>
    <w:p w14:paraId="47FE64FD">
      <w:pPr>
        <w:keepNext w:val="0"/>
        <w:keepLines/>
        <w:widowControl w:val="0"/>
        <w:spacing w:before="0" w:after="4" w:line="197" w:lineRule="auto"/>
        <w:ind w:left="204" w:hanging="204"/>
      </w:pPr>
      <w:r>
        <w:rPr>
          <w:rFonts w:ascii="Arial" w:hAnsi="Arial" w:eastAsia="微软雅黑"/>
          <w:b/>
          <w:color w:val="202733"/>
          <w:sz w:val="18"/>
        </w:rPr>
        <w:t>• 并发优化：</w:t>
      </w:r>
      <w:r>
        <w:rPr>
          <w:rFonts w:ascii="Arial" w:hAnsi="Arial" w:eastAsia="微软雅黑"/>
          <w:b w:val="0"/>
          <w:color w:val="202733"/>
          <w:sz w:val="18"/>
        </w:rPr>
        <w:t>针对采集与显示共享缓冲区的读写冲突，设计双缓冲与状态机协同机制，管理波形数据的读写权限和切换时机，保证单帧绘制期间数据一致，避免新旧帧混用，并允许新帧准备与当前帧绘制并行。</w:t>
      </w:r>
    </w:p>
    <w:p w14:paraId="7D743734">
      <w:pPr>
        <w:keepNext w:val="0"/>
        <w:keepLines/>
        <w:widowControl w:val="0"/>
        <w:pBdr>
          <w:bottom w:val="single" w:sz="6" w:space="4" w:color="808080"/>
        </w:pBdr>
        <w:spacing w:before="0" w:after="4" w:line="197" w:lineRule="auto"/>
        <w:ind w:left="204" w:hanging="204"/>
      </w:pPr>
      <w:r>
        <w:rPr>
          <w:rFonts w:ascii="Arial" w:hAnsi="Arial" w:eastAsia="微软雅黑"/>
          <w:b/>
          <w:color w:val="202733"/>
          <w:sz w:val="18"/>
        </w:rPr>
        <w:t>• 测量与调试：</w:t>
      </w:r>
      <w:r>
        <w:rPr>
          <w:rFonts w:ascii="Arial" w:hAnsi="Arial" w:eastAsia="微软雅黑"/>
          <w:b w:val="0"/>
          <w:color w:val="202733"/>
          <w:sz w:val="18"/>
        </w:rPr>
        <w:t>基于内部参考电压估算VDDA，结合GPIO档位识别、分压与偏置补偿完成多量程换算，提升测量准确性；优化采样率与波表长度配置、定时参数计算及更新时序，修正低频输出偏差，实现频率切换及时生效。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00"/>
        <w:gridCol w:w="3938"/>
      </w:tblGrid>
      <w:tr w14:paraId="393AA3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5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816DBC">
            <w:pPr>
              <w:keepNext/>
              <w:keepLines/>
              <w:widowControl w:val="0"/>
              <w:spacing w:before="5" w:after="2" w:line="240" w:lineRule="auto"/>
            </w:pPr>
            <w:r>
              <w:rPr>
                <w:rFonts w:ascii="Arial" w:hAnsi="Arial" w:eastAsia="微软雅黑"/>
                <w:b/>
                <w:color w:val="202733"/>
                <w:sz w:val="20"/>
              </w:rPr>
              <w:t>基于MSPM0与K230的移动目标瞄准系统</w:t>
            </w:r>
          </w:p>
        </w:tc>
        <w:tc>
          <w:tcPr>
            <w:tcW w:w="393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17ED9">
            <w:pPr>
              <w:keepNext/>
              <w:keepLines/>
              <w:widowControl w:val="0"/>
              <w:spacing w:before="5" w:after="2" w:line="240" w:lineRule="auto"/>
              <w:jc w:val="right"/>
            </w:pPr>
            <w:r>
              <w:rPr>
                <w:rFonts w:ascii="Arial" w:hAnsi="Arial" w:eastAsia="微软雅黑"/>
                <w:b/>
                <w:color w:val="202733"/>
                <w:sz w:val="20"/>
                <w:szCs w:val="20"/>
              </w:rPr>
              <w:t>AI部署 · Python · 机器视觉</w:t>
            </w:r>
          </w:p>
        </w:tc>
      </w:tr>
    </w:tbl>
    <w:p w14:paraId="31FE9A51">
      <w:pPr>
        <w:keepNext w:val="0"/>
        <w:keepLines/>
        <w:widowControl w:val="0"/>
        <w:spacing w:before="0" w:after="5" w:line="197" w:lineRule="auto"/>
      </w:pPr>
      <w:r>
        <w:rPr>
          <w:rFonts w:ascii="Arial" w:hAnsi="Arial" w:eastAsia="微软雅黑"/>
          <w:b/>
          <w:sz w:val="18"/>
        </w:rPr>
        <w:t>项目简介：</w:t>
      </w:r>
      <w:r>
        <w:rPr>
          <w:rFonts w:ascii="Arial" w:hAnsi="Arial" w:eastAsia="微软雅黑"/>
          <w:b w:val="0"/>
          <w:sz w:val="18"/>
        </w:rPr>
        <w:t>面向循迹小车行驶中的激光自动瞄准，结合K230 KPU高速推理单元，实现AI目标检测与几何视觉，完成矩形靶标识别、靶心定位及瞄准偏差反馈。不同环境下目标识别率达98%；整机实测启动后2秒内完成瞄准，打靶误差＜1.5cm，小车稳定行驶时误差＜2cm。</w:t>
      </w:r>
    </w:p>
    <w:p w14:paraId="0676A637">
      <w:pPr>
        <w:keepNext w:val="0"/>
        <w:keepLines/>
        <w:widowControl w:val="0"/>
        <w:spacing w:before="0" w:after="5" w:line="197" w:lineRule="auto"/>
      </w:pPr>
      <w:r>
        <w:rPr>
          <w:rFonts w:ascii="Arial" w:hAnsi="Arial" w:eastAsia="微软雅黑"/>
          <w:b/>
          <w:bCs/>
          <w:sz w:val="18"/>
        </w:rPr>
        <w:t>项目职责：</w:t>
      </w:r>
      <w:r>
        <w:rPr>
          <w:rFonts w:ascii="Arial" w:hAnsi="Arial" w:eastAsia="微软雅黑"/>
          <w:b/>
          <w:bCs/>
          <w:sz w:val="18"/>
        </w:rPr>
        <w:t>负责AI训练部署、视觉算法、灰度逻辑与人机交互。</w:t>
      </w:r>
    </w:p>
    <w:p w14:paraId="027AF93B">
      <w:pPr>
        <w:keepNext w:val="0"/>
        <w:keepLines/>
        <w:widowControl w:val="0"/>
        <w:spacing w:before="0" w:after="4" w:line="197" w:lineRule="auto"/>
        <w:ind w:left="204" w:hanging="204"/>
      </w:pPr>
      <w:r>
        <w:rPr>
          <w:rFonts w:ascii="Arial" w:hAnsi="Arial" w:eastAsia="微软雅黑"/>
          <w:b/>
          <w:color w:val="202733"/>
          <w:sz w:val="18"/>
        </w:rPr>
        <w:t>• 模型训练：</w:t>
      </w:r>
      <w:r>
        <w:rPr>
          <w:rFonts w:ascii="Arial" w:hAnsi="Arial" w:eastAsia="微软雅黑"/>
          <w:b w:val="0"/>
          <w:color w:val="202733"/>
          <w:sz w:val="18"/>
        </w:rPr>
        <w:t>为解决各种环境对识别精度影响，自采多环境靶标图像，通过Make Sense标注并借助AI校验标注质量；在AI Cube完成目标检测模型训练与板端部署，实现不同环境下的矩形靶标的准确识别。</w:t>
      </w:r>
    </w:p>
    <w:p w14:paraId="748B00C0">
      <w:pPr>
        <w:keepNext w:val="0"/>
        <w:keepLines/>
        <w:widowControl w:val="0"/>
        <w:spacing w:before="0" w:after="4" w:line="197" w:lineRule="auto"/>
        <w:ind w:left="204" w:hanging="204"/>
      </w:pPr>
      <w:r>
        <w:rPr>
          <w:rFonts w:ascii="Arial" w:hAnsi="Arial" w:eastAsia="微软雅黑"/>
          <w:b/>
          <w:color w:val="202733"/>
          <w:sz w:val="18"/>
        </w:rPr>
        <w:t>• 融合定位：</w:t>
      </w:r>
      <w:r>
        <w:rPr>
          <w:rFonts w:ascii="Arial" w:hAnsi="Arial" w:eastAsia="微软雅黑"/>
          <w:b w:val="0"/>
          <w:color w:val="202733"/>
          <w:sz w:val="18"/>
        </w:rPr>
        <w:t>将AI检测框与几何四角统一到同帧原图坐标并匹配，优先通过四角对角线交点求心；几何失效但AI有效时通过用户自动切换策略，实现AI视觉和几何识别灵活切换，提高运动过程中的识别精度和抗风险能力，正确识别率达99%。</w:t>
      </w:r>
    </w:p>
    <w:p w14:paraId="6915ADBA">
      <w:pPr>
        <w:keepNext w:val="0"/>
        <w:keepLines/>
        <w:widowControl w:val="0"/>
        <w:pBdr>
          <w:bottom w:val="single" w:sz="6" w:space="4" w:color="808080"/>
        </w:pBdr>
        <w:spacing w:before="0" w:after="4" w:line="197" w:lineRule="auto"/>
        <w:ind w:left="204" w:hanging="204"/>
      </w:pPr>
      <w:r>
        <w:rPr>
          <w:rFonts w:ascii="Arial" w:hAnsi="Arial" w:eastAsia="微软雅黑"/>
          <w:b/>
          <w:color w:val="202733"/>
          <w:sz w:val="18"/>
        </w:rPr>
        <w:t>• 稳健反馈：</w:t>
      </w:r>
      <w:r>
        <w:rPr>
          <w:rFonts w:ascii="Arial" w:hAnsi="Arial" w:eastAsia="微软雅黑"/>
          <w:b w:val="0"/>
          <w:color w:val="202733"/>
          <w:sz w:val="18"/>
        </w:rPr>
        <w:t>结合Otsu阈值重估与面积、对边及角度约束过滤干扰，校验靶心有效性后经串口输出双轴偏差；双路均失效时发送无效状态，避免错误坐标参与团队云台瞄准。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00"/>
        <w:gridCol w:w="3938"/>
      </w:tblGrid>
      <w:tr w14:paraId="7FA53E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5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511306">
            <w:pPr>
              <w:keepNext/>
              <w:keepLines/>
              <w:widowControl w:val="0"/>
              <w:spacing w:before="5" w:after="2" w:line="240" w:lineRule="auto"/>
            </w:pPr>
            <w:r>
              <w:rPr>
                <w:rFonts w:ascii="Arial" w:hAnsi="Arial" w:eastAsia="微软雅黑"/>
                <w:b/>
                <w:color w:val="202733"/>
                <w:sz w:val="20"/>
              </w:rPr>
              <w:t>低功耗LoRa环境监测节点</w:t>
            </w:r>
          </w:p>
        </w:tc>
        <w:tc>
          <w:tcPr>
            <w:tcW w:w="393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A1881A">
            <w:pPr>
              <w:keepNext/>
              <w:keepLines/>
              <w:widowControl w:val="0"/>
              <w:spacing w:before="5" w:after="2" w:line="240" w:lineRule="auto"/>
              <w:jc w:val="right"/>
            </w:pPr>
            <w:r>
              <w:rPr>
                <w:rFonts w:ascii="Arial" w:hAnsi="Arial" w:eastAsia="微软雅黑"/>
                <w:b/>
                <w:color w:val="202733"/>
                <w:sz w:val="20"/>
                <w:szCs w:val="20"/>
              </w:rPr>
              <w:t>低功耗管理 · 无线通信 · 网关开发</w:t>
            </w:r>
          </w:p>
        </w:tc>
      </w:tr>
    </w:tbl>
    <w:p w14:paraId="6D3381AC">
      <w:pPr>
        <w:keepNext w:val="0"/>
        <w:keepLines/>
        <w:widowControl w:val="0"/>
        <w:spacing w:before="0" w:after="5" w:line="197" w:lineRule="auto"/>
      </w:pPr>
      <w:r>
        <w:rPr>
          <w:rFonts w:ascii="Arial" w:hAnsi="Arial" w:eastAsia="微软雅黑"/>
          <w:b/>
          <w:sz w:val="18"/>
        </w:rPr>
        <w:t>项目简介：</w:t>
      </w:r>
      <w:r>
        <w:rPr>
          <w:rFonts w:ascii="Arial" w:hAnsi="Arial" w:eastAsia="微软雅黑"/>
          <w:b w:val="0"/>
          <w:sz w:val="18"/>
        </w:rPr>
        <w:t>基于STM32F103C8T6，完成集环境数据采集、周期无线上报与网关异常记录于一体的低功耗监测节点，实现整机休眠电流实测约54μA；按1100mAh电池容量及既定上报工况，预留裕量后估算续航约8个月。</w:t>
      </w:r>
    </w:p>
    <w:p w14:paraId="44020B3A">
      <w:pPr>
        <w:keepNext w:val="0"/>
        <w:keepLines/>
        <w:widowControl w:val="0"/>
        <w:spacing w:before="0" w:after="5" w:line="197" w:lineRule="auto"/>
      </w:pPr>
      <w:r>
        <w:rPr>
          <w:rFonts w:ascii="Arial" w:hAnsi="Arial" w:eastAsia="微软雅黑"/>
          <w:b/>
          <w:sz w:val="18"/>
        </w:rPr>
        <w:t>项目职责：</w:t>
      </w:r>
      <w:r>
        <w:rPr>
          <w:rFonts w:ascii="Arial" w:hAnsi="Arial" w:eastAsia="微软雅黑"/>
          <w:b w:val="0"/>
          <w:sz w:val="18"/>
        </w:rPr>
        <w:t>负责方案选型、软件开发与整板调试。</w:t>
      </w:r>
    </w:p>
    <w:p w14:paraId="3FE214A0">
      <w:pPr>
        <w:keepNext w:val="0"/>
        <w:keepLines/>
        <w:widowControl w:val="0"/>
        <w:spacing w:before="0" w:after="4" w:line="197" w:lineRule="auto"/>
        <w:ind w:left="204" w:hanging="204"/>
      </w:pPr>
      <w:r>
        <w:rPr>
          <w:rFonts w:ascii="Arial" w:hAnsi="Arial" w:eastAsia="微软雅黑"/>
          <w:b/>
          <w:color w:val="202733"/>
          <w:sz w:val="18"/>
        </w:rPr>
        <w:t>• 系统开发：</w:t>
      </w:r>
      <w:r>
        <w:rPr>
          <w:rFonts w:ascii="Arial" w:hAnsi="Arial" w:eastAsia="微软雅黑"/>
          <w:b w:val="0"/>
          <w:color w:val="202733"/>
          <w:sz w:val="18"/>
        </w:rPr>
        <w:t>分层封装传感器驱动与采集逻辑，设计RTC周期采集与按键唤醒双事件机制，分别维护采样与显示期限，避免临时查看打乱上报节拍；支持无网关条件下现场查看数据，并通过有效性检查标识采集异常，保障不同情况下数据的有效观测。</w:t>
      </w:r>
    </w:p>
    <w:p w14:paraId="3A0A4AF5">
      <w:pPr>
        <w:keepNext w:val="0"/>
        <w:keepLines/>
        <w:widowControl w:val="0"/>
        <w:spacing w:before="0" w:after="4" w:line="197" w:lineRule="auto"/>
        <w:ind w:left="204" w:hanging="204"/>
      </w:pPr>
      <w:r>
        <w:rPr>
          <w:rFonts w:ascii="Arial" w:hAnsi="Arial" w:eastAsia="微软雅黑"/>
          <w:b/>
          <w:color w:val="202733"/>
          <w:sz w:val="18"/>
        </w:rPr>
        <w:t>• 功耗优化：</w:t>
      </w:r>
      <w:r>
        <w:rPr>
          <w:rFonts w:ascii="Arial" w:hAnsi="Arial" w:eastAsia="微软雅黑"/>
          <w:b w:val="0"/>
          <w:color w:val="202733"/>
          <w:sz w:val="18"/>
        </w:rPr>
        <w:t>结合Stop模式、代码优化、供电门控与休眠控制，抑制GPIO漏电并隔离断电外设信号，将整板待机电流控制在µA级。</w:t>
      </w:r>
    </w:p>
    <w:p w14:paraId="673E8E14">
      <w:pPr>
        <w:keepNext w:val="0"/>
        <w:keepLines/>
        <w:widowControl w:val="0"/>
        <w:spacing w:before="0" w:after="4" w:line="197" w:lineRule="auto"/>
        <w:ind w:left="204" w:hanging="204"/>
      </w:pPr>
      <w:r>
        <w:rPr>
          <w:rFonts w:ascii="Arial" w:hAnsi="Arial" w:eastAsia="微软雅黑"/>
          <w:b/>
          <w:color w:val="202733"/>
          <w:sz w:val="18"/>
        </w:rPr>
        <w:t>• 协议开发：</w:t>
      </w:r>
      <w:r>
        <w:rPr>
          <w:rFonts w:ascii="Arial" w:hAnsi="Arial" w:eastAsia="微软雅黑"/>
          <w:b w:val="0"/>
          <w:color w:val="202733"/>
          <w:sz w:val="18"/>
        </w:rPr>
        <w:t>设计CRC校验、序号匹配及ACK超时有限重试机制，实现上报确认与传输异常处理；开发PC网关处理半包、粘包及坏帧，按节点与序号去重且对重传仍回ACK，完成数据解析及带时间的故障日志记录，支持采集异常追溯。</w:t>
      </w:r>
    </w:p>
    <w:p w14:paraId="3F5B6A00">
      <w:pPr>
        <w:keepNext/>
        <w:keepLines/>
        <w:widowControl w:val="0"/>
        <w:pBdr>
          <w:bottom w:val="single" w:color="1F4E79" w:sz="12" w:space="1"/>
        </w:pBdr>
        <w:spacing w:before="20" w:after="10" w:line="197" w:lineRule="auto"/>
      </w:pPr>
      <w:r>
        <w:rPr>
          <w:rFonts w:ascii="Arial" w:hAnsi="Arial" w:eastAsia="微软雅黑"/>
          <w:b/>
          <w:color w:val="1F4E79"/>
          <w:sz w:val="22"/>
        </w:rPr>
        <w:t>专业技能</w:t>
      </w:r>
    </w:p>
    <w:p w14:paraId="41564090">
      <w:pPr>
        <w:keepNext w:val="0"/>
        <w:keepLines/>
        <w:widowControl w:val="0"/>
        <w:spacing w:before="0" w:after="5" w:line="197" w:lineRule="auto"/>
      </w:pPr>
      <w:r>
        <w:rPr>
          <w:rFonts w:ascii="Arial" w:hAnsi="Arial" w:eastAsia="微软雅黑"/>
          <w:b/>
          <w:sz w:val="18"/>
        </w:rPr>
        <w:t>编程基础：</w:t>
      </w:r>
      <w:r>
        <w:rPr>
          <w:rFonts w:ascii="Arial" w:hAnsi="Arial" w:eastAsia="微软雅黑"/>
          <w:b w:val="0"/>
          <w:sz w:val="18"/>
        </w:rPr>
        <w:t>熟悉C语言与Python，掌握常用数据结构，能完成嵌入式模块的代码阅读、改写与调试。</w:t>
      </w:r>
    </w:p>
    <w:p w14:paraId="5DA84FA7">
      <w:pPr>
        <w:keepNext w:val="0"/>
        <w:keepLines/>
        <w:widowControl w:val="0"/>
        <w:spacing w:before="0" w:after="5" w:line="197" w:lineRule="auto"/>
      </w:pPr>
      <w:r>
        <w:rPr>
          <w:rFonts w:ascii="Arial" w:hAnsi="Arial" w:eastAsia="微软雅黑"/>
          <w:b/>
          <w:sz w:val="18"/>
        </w:rPr>
        <w:t>内核与实时系统：</w:t>
      </w:r>
      <w:r>
        <w:rPr>
          <w:rFonts w:ascii="Arial" w:hAnsi="Arial" w:eastAsia="微软雅黑"/>
          <w:b w:val="0"/>
          <w:sz w:val="18"/>
        </w:rPr>
        <w:t>熟悉ARM Cortex-M3/M4内核与FreeRTOS实时操作系统，完成过FreeRTOS移植与项目配置；具有任务调度、内存管理及多任务并发的实践经验，能够处理中断服务与任务间的数据传递和同步。</w:t>
      </w:r>
    </w:p>
    <w:p w14:paraId="29B41F72">
      <w:pPr>
        <w:keepNext w:val="0"/>
        <w:keepLines/>
        <w:widowControl w:val="0"/>
        <w:spacing w:before="0" w:after="5" w:line="197" w:lineRule="auto"/>
      </w:pPr>
      <w:r>
        <w:rPr>
          <w:rFonts w:ascii="Arial" w:hAnsi="Arial" w:eastAsia="微软雅黑"/>
          <w:b/>
          <w:sz w:val="18"/>
        </w:rPr>
        <w:t>通信与协议：</w:t>
      </w:r>
      <w:r>
        <w:rPr>
          <w:rFonts w:ascii="Arial" w:hAnsi="Arial" w:eastAsia="微软雅黑"/>
          <w:b w:val="0"/>
          <w:sz w:val="18"/>
        </w:rPr>
        <w:t>熟悉UART、I²C、SPI等常用通信协议，具备自定义帧协议设计经验，使用过通信、采集与定时控制类外设。</w:t>
      </w:r>
    </w:p>
    <w:p w14:paraId="59130E03">
      <w:pPr>
        <w:keepNext w:val="0"/>
        <w:keepLines/>
        <w:widowControl w:val="0"/>
        <w:spacing w:before="0" w:after="5" w:line="197" w:lineRule="auto"/>
      </w:pPr>
      <w:r>
        <w:rPr>
          <w:rFonts w:ascii="Arial" w:hAnsi="Arial" w:eastAsia="微软雅黑"/>
          <w:b/>
          <w:sz w:val="18"/>
        </w:rPr>
        <w:t>开发与调试：</w:t>
      </w:r>
      <w:r>
        <w:rPr>
          <w:rFonts w:ascii="Arial" w:hAnsi="Arial" w:eastAsia="微软雅黑"/>
          <w:b w:val="0"/>
          <w:sz w:val="18"/>
        </w:rPr>
        <w:t>熟练使用Keil、STM32CubeMX、VS Code等开发工具，能使用CMake/GCC、Git完成工程构建与版本管理；结合原理图、数据手册及示波器、万用表等仪器定位软硬件问题。</w:t>
      </w:r>
    </w:p>
    <w:p w14:paraId="3D7AD0BF">
      <w:pPr>
        <w:keepNext w:val="0"/>
        <w:keepLines/>
        <w:widowControl w:val="0"/>
        <w:spacing w:before="0" w:after="5" w:line="197" w:lineRule="auto"/>
      </w:pPr>
      <w:r>
        <w:rPr>
          <w:rFonts w:ascii="Arial" w:hAnsi="Arial" w:eastAsia="微软雅黑"/>
          <w:b/>
          <w:sz w:val="18"/>
        </w:rPr>
        <w:t>AI工具：</w:t>
      </w:r>
      <w:r>
        <w:rPr>
          <w:rFonts w:ascii="Arial" w:hAnsi="Arial" w:eastAsia="微软雅黑"/>
          <w:b w:val="0"/>
          <w:sz w:val="18"/>
        </w:rPr>
        <w:t>熟练使用Codex、Claude Code、DeepSeek Harness、ZCode搭建工作流并实现快速产品设计与开发。</w:t>
      </w:r>
    </w:p>
    <w:sectPr>
      <w:pgSz w:w="11906" w:h="16838"/>
      <w:pgMar w:top="280" w:right="734" w:bottom="259" w:left="734" w:header="115" w:footer="115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2" w:lineRule="auto"/>
      </w:pPr>
      <w:r>
        <w:separator/>
      </w:r>
    </w:p>
  </w:footnote>
  <w:footnote w:type="continuationSeparator" w:id="1">
    <w:p>
      <w:pPr>
        <w:spacing w:before="0" w:after="0" w:line="25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89C1349"/>
    <w:rsid w:val="52A77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52" w:lineRule="auto"/>
    </w:pPr>
    <w:rPr>
      <w:rFonts w:ascii="Arial" w:hAnsi="Arial" w:eastAsia="微软雅黑" w:cstheme="minorBidi"/>
      <w:color w:val="202733"/>
      <w:sz w:val="15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1706</Words>
  <Characters>1979</Characters>
  <Lines>0</Lines>
  <Paragraphs>0</Paragraphs>
  <TotalTime>1</TotalTime>
  <ScaleCrop>false</ScaleCrop>
  <LinksUpToDate>false</LinksUpToDate>
  <CharactersWithSpaces>2017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彭</dc:creator>
  <cp:keywords>STM32, FreeRTOS, 嵌入式, 物联网</cp:keywords>
  <cp:lastModifiedBy>彭</cp:lastModifiedBy>
  <dcterms:modified xsi:type="dcterms:W3CDTF">2026-09-18T01:38:46Z</dcterms:modified>
  <dc:subject>求职简历</dc:subject>
  <dc:title>彭博裕 - 嵌入式软件工程师 - 通用版 20260917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eyJoZGlkIjoiNDlmODY1YmFkYTM3MTE0NjY3OTcwNjkyNzE4MzcwMDkiLCJ1c2VySWQiOiIxMjI5MzIzNjMyIn0=</vt:lpwstr>
  </property>
  <property fmtid="{D5CDD505-2E9C-101B-9397-08002B2CF9AE}" pid="3" name="KSOProductBuildVer">
    <vt:lpwstr>2052-12.1.0.28043</vt:lpwstr>
  </property>
  <property fmtid="{D5CDD505-2E9C-101B-9397-08002B2CF9AE}" pid="4" name="ICV">
    <vt:lpwstr>59EB3B035A90490CA31DD3B56BB23C6D_12</vt:lpwstr>
  </property>
</Properties>
</file>