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21"/>
                <w:szCs w:val="21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21"/>
                <w:szCs w:val="21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21"/>
                <w:szCs w:val="21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21"/>
                <w:szCs w:val="21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21"/>
                <w:szCs w:val="21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26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20" w:after="10" w:line="226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226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226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20" w:after="10" w:line="226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和信号发生器，支持波形实时显示及频率、幅度测量，频率测量误差极小，电压与电阻测量误差1%；支持使用DC-DC升压电路实现直流电压稳定输出；信号发生器输出正弦、方波等，频率档位覆盖50 Hz～80 kHz。</w:t>
      </w:r>
    </w:p>
    <w:p w14:paraId="23109656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边缘AI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并开启激光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模型训练：</w:t>
      </w:r>
      <w:r>
        <w:rPr>
          <w:rFonts w:ascii="Arial" w:hAnsi="Arial" w:eastAsia="微软雅黑"/>
          <w:b w:val="0"/>
          <w:color w:val="202733"/>
          <w:sz w:val="18"/>
        </w:rPr>
        <w:t>为解决各种环境对识别精度影响，自采多环境靶标图像，通过Make Sense标注并借助AI校验标注质量；在AI Cube完成目标检测模型训练与板端部署，实现不同环境下的矩形靶标准确识别。</w:t>
      </w:r>
    </w:p>
    <w:p w14:paraId="748B00C0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融合定位：</w:t>
      </w:r>
      <w:r>
        <w:rPr>
          <w:rFonts w:ascii="Arial" w:hAnsi="Arial" w:eastAsia="微软雅黑"/>
          <w:b w:val="0"/>
          <w:color w:val="202733"/>
          <w:sz w:val="18"/>
        </w:rPr>
        <w:t>将AI检测框与几何四角统一到同帧原图坐标并匹配，优先通过四角对角线交点求心；几何失效但AI有效时切换至检测框中心，继续提供靶心位置反馈。</w:t>
      </w:r>
    </w:p>
    <w:p w14:paraId="6915ADBA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稳健反馈：</w:t>
      </w:r>
      <w:r>
        <w:rPr>
          <w:rFonts w:ascii="Arial" w:hAnsi="Arial" w:eastAsia="微软雅黑"/>
          <w:b w:val="0"/>
          <w:color w:val="202733"/>
          <w:sz w:val="18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44020B3A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负责视觉算法、灰度采集与OLED/按键交互。</w:t>
      </w:r>
    </w:p>
    <w:p w14:paraId="3FE214A0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结合Stop模式、代码系统优化、外设供电门控与休眠控制，抑制GPIO漏电并隔离断电外设信号，将整板待机电流控制在µA级。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22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20" w:after="10" w:line="226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41564090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226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