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</w:t>
            </w:r>
            <w:r>
              <w:rPr>
                <w:rFonts w:hint="eastAsia"/>
                <w:b/>
                <w:color w:val="1F4E79"/>
                <w:sz w:val="19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9"/>
                <w:szCs w:val="19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12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7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7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20" w:after="10" w:line="212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12" w:lineRule="auto"/>
      </w:pPr>
      <w:r>
        <w:rPr>
          <w:rFonts w:ascii="Arial" w:hAnsi="Arial" w:eastAsia="微软雅黑"/>
          <w:b/>
          <w:color w:val="202733"/>
          <w:sz w:val="17"/>
        </w:rPr>
        <w:t>比赛获奖：</w:t>
      </w:r>
      <w:r>
        <w:rPr>
          <w:rFonts w:ascii="Arial" w:hAnsi="Arial" w:eastAsia="微软雅黑"/>
          <w:b w:val="0"/>
          <w:color w:val="202733"/>
          <w:sz w:val="17"/>
        </w:rPr>
        <w:t>全国大学生电子设计竞赛省级二等奖；蓝桥杯省级三等奖。</w:t>
      </w:r>
    </w:p>
    <w:p w14:paraId="2FFC6D63">
      <w:pPr>
        <w:keepNext w:val="0"/>
        <w:keepLines/>
        <w:widowControl w:val="0"/>
        <w:spacing w:before="0" w:after="3" w:line="212" w:lineRule="auto"/>
      </w:pPr>
      <w:r>
        <w:rPr>
          <w:rFonts w:ascii="Arial" w:hAnsi="Arial" w:eastAsia="微软雅黑"/>
          <w:b/>
          <w:color w:val="202733"/>
          <w:sz w:val="17"/>
        </w:rPr>
        <w:t>证书荣誉：</w:t>
      </w:r>
      <w:r>
        <w:rPr>
          <w:rFonts w:ascii="Arial" w:hAnsi="Arial" w:eastAsia="微软雅黑"/>
          <w:b w:val="0"/>
          <w:color w:val="202733"/>
          <w:sz w:val="17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20" w:after="10" w:line="212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集成示波器、数字万用表、可调直流电源和信号发生器，支持波形实时显示及频率、幅度测量，频率测量误差极小，电压与电阻测量误差1%；支持使用DC-DC升压电路实现直流电压稳定输出；信号发生器输出正弦、方波等，频率档位覆盖50 Hz～80 kHz。</w:t>
      </w:r>
    </w:p>
    <w:p w14:paraId="23109656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架构交互：</w:t>
      </w:r>
      <w:r>
        <w:rPr>
          <w:rFonts w:ascii="Arial" w:hAnsi="Arial" w:eastAsia="微软雅黑"/>
          <w:b w:val="0"/>
          <w:color w:val="202733"/>
          <w:sz w:val="17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并发优化：</w:t>
      </w:r>
      <w:r>
        <w:rPr>
          <w:rFonts w:ascii="Arial" w:hAnsi="Arial" w:eastAsia="微软雅黑"/>
          <w:b w:val="0"/>
          <w:color w:val="202733"/>
          <w:sz w:val="17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测量与调试：</w:t>
      </w:r>
      <w:r>
        <w:rPr>
          <w:rFonts w:ascii="Arial" w:hAnsi="Arial" w:eastAsia="微软雅黑"/>
          <w:b w:val="0"/>
          <w:color w:val="202733"/>
          <w:sz w:val="17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边缘AI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并开启激光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模型训练：</w:t>
      </w:r>
      <w:r>
        <w:rPr>
          <w:rFonts w:ascii="Arial" w:hAnsi="Arial" w:eastAsia="微软雅黑"/>
          <w:b w:val="0"/>
          <w:color w:val="202733"/>
          <w:sz w:val="17"/>
        </w:rPr>
        <w:t>为解决各种环境对识别精度影响，自采多环境靶标图像，通过Make Sense标注并借助AI校验标注质量；在AI Cube完成目标检测模型训练与板端部署，实现不同环境下的矩形靶标准确识别。</w:t>
      </w:r>
    </w:p>
    <w:p w14:paraId="748B00C0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融合定位：</w:t>
      </w:r>
      <w:r>
        <w:rPr>
          <w:rFonts w:ascii="Arial" w:hAnsi="Arial" w:eastAsia="微软雅黑"/>
          <w:b w:val="0"/>
          <w:color w:val="202733"/>
          <w:sz w:val="17"/>
        </w:rPr>
        <w:t>将AI检测框与几何四角统一到同帧原图坐标并匹配，优先通过四角对角线交点求心；几何失效但AI有效时切换至检测框中心，继续提供靶心位置反馈。</w:t>
      </w:r>
    </w:p>
    <w:p w14:paraId="6915ADBA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稳健反馈：</w:t>
      </w:r>
      <w:r>
        <w:rPr>
          <w:rFonts w:ascii="Arial" w:hAnsi="Arial" w:eastAsia="微软雅黑"/>
          <w:b w:val="0"/>
          <w:color w:val="202733"/>
          <w:sz w:val="17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项目简介：</w:t>
      </w:r>
      <w:r>
        <w:rPr>
          <w:rFonts w:ascii="Arial" w:hAnsi="Arial" w:eastAsia="微软雅黑"/>
          <w:b w:val="0"/>
          <w:sz w:val="17"/>
        </w:rPr>
        <w:t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44020B3A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项目职责：</w:t>
      </w:r>
      <w:r>
        <w:rPr>
          <w:rFonts w:ascii="Arial" w:hAnsi="Arial" w:eastAsia="微软雅黑"/>
          <w:b w:val="0"/>
          <w:sz w:val="17"/>
        </w:rPr>
        <w:t>负责视觉算法、灰度采集与OLED/按键交互。</w:t>
      </w:r>
    </w:p>
    <w:p w14:paraId="3FE214A0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系统开发：</w:t>
      </w:r>
      <w:r>
        <w:rPr>
          <w:rFonts w:ascii="Arial" w:hAnsi="Arial" w:eastAsia="微软雅黑"/>
          <w:b w:val="0"/>
          <w:color w:val="202733"/>
          <w:sz w:val="17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功耗优化：</w:t>
      </w:r>
      <w:r>
        <w:rPr>
          <w:rFonts w:ascii="Arial" w:hAnsi="Arial" w:eastAsia="微软雅黑"/>
          <w:b w:val="0"/>
          <w:color w:val="202733"/>
          <w:sz w:val="17"/>
        </w:rPr>
        <w:t>结合Stop模式、代码系统优化、外设供电门控与休眠控制，抑制GPIO漏电并隔离断电外设信号，将整板待机电流控制在µA级。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协议开发：</w:t>
      </w:r>
      <w:r>
        <w:rPr>
          <w:rFonts w:ascii="Arial" w:hAnsi="Arial" w:eastAsia="微软雅黑"/>
          <w:b w:val="0"/>
          <w:color w:val="202733"/>
          <w:sz w:val="17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20" w:after="10" w:line="212" w:lineRule="auto"/>
      </w:pPr>
      <w:r>
        <w:rPr>
          <w:rFonts w:ascii="Arial" w:hAnsi="Arial" w:eastAsia="微软雅黑"/>
          <w:b/>
          <w:color w:val="1F4E79"/>
          <w:sz w:val="20"/>
        </w:rPr>
        <w:t>校园经历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09863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D83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山东建筑大学校学生会科创部</w:t>
            </w:r>
            <w:r>
              <w:rPr>
                <w:rFonts w:ascii="Arial" w:hAnsi="Arial" w:eastAsia="微软雅黑"/>
                <w:b w:val="0"/>
                <w:color w:val="1F4E79"/>
                <w:sz w:val="17"/>
              </w:rPr>
              <w:t>｜部长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9BF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7"/>
              </w:rPr>
              <w:t>2023.09—2025.06</w:t>
            </w:r>
          </w:p>
        </w:tc>
      </w:tr>
    </w:tbl>
    <w:p w14:paraId="34A1DF8F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科创组织：</w:t>
      </w:r>
      <w:r>
        <w:rPr>
          <w:rFonts w:ascii="Arial" w:hAnsi="Arial" w:eastAsia="微软雅黑"/>
          <w:b w:val="0"/>
          <w:color w:val="202733"/>
          <w:sz w:val="17"/>
        </w:rPr>
        <w:t>统筹约50名成员，参与组织电赛、西门子杯、蓝桥杯及国产MCU产品等校级宣讲，负责人员分工、跨部门协调、宣传物料、会场布置与流程安排，保障活动按计划落地。</w:t>
      </w:r>
    </w:p>
    <w:p w14:paraId="2E513AAC">
      <w:pPr>
        <w:keepNext w:val="0"/>
        <w:keepLines/>
        <w:widowControl w:val="0"/>
        <w:spacing w:before="0" w:after="4" w:line="212" w:lineRule="auto"/>
        <w:ind w:left="204" w:hanging="204"/>
      </w:pPr>
      <w:r>
        <w:rPr>
          <w:rFonts w:ascii="Arial" w:hAnsi="Arial" w:eastAsia="微软雅黑"/>
          <w:b/>
          <w:color w:val="202733"/>
          <w:sz w:val="17"/>
        </w:rPr>
        <w:t>• 现场保障：</w:t>
      </w:r>
      <w:r>
        <w:rPr>
          <w:rFonts w:ascii="Arial" w:hAnsi="Arial" w:eastAsia="微软雅黑"/>
          <w:b w:val="0"/>
          <w:color w:val="202733"/>
          <w:sz w:val="17"/>
        </w:rPr>
        <w:t>参与组织文艺晚会、校园歌手大赛等200余人活动，设置双麦克风及主备音响保障方案；音频设备突发故障后按预案切换备用设备，恢复现场声音并保障活动继续进行。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20" w:after="10" w:line="212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41564090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编程基础：</w:t>
      </w:r>
      <w:r>
        <w:rPr>
          <w:rFonts w:ascii="Arial" w:hAnsi="Arial" w:eastAsia="微软雅黑"/>
          <w:b w:val="0"/>
          <w:sz w:val="17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内核与实时系统：</w:t>
      </w:r>
      <w:r>
        <w:rPr>
          <w:rFonts w:ascii="Arial" w:hAnsi="Arial" w:eastAsia="微软雅黑"/>
          <w:b w:val="0"/>
          <w:sz w:val="17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通信与协议：</w:t>
      </w:r>
      <w:r>
        <w:rPr>
          <w:rFonts w:ascii="Arial" w:hAnsi="Arial" w:eastAsia="微软雅黑"/>
          <w:b w:val="0"/>
          <w:sz w:val="17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开发与调试：</w:t>
      </w:r>
      <w:r>
        <w:rPr>
          <w:rFonts w:ascii="Arial" w:hAnsi="Arial" w:eastAsia="微软雅黑"/>
          <w:b w:val="0"/>
          <w:sz w:val="17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12" w:lineRule="auto"/>
      </w:pPr>
      <w:r>
        <w:rPr>
          <w:rFonts w:ascii="Arial" w:hAnsi="Arial" w:eastAsia="微软雅黑"/>
          <w:b/>
          <w:sz w:val="17"/>
        </w:rPr>
        <w:t>AI工具：</w:t>
      </w:r>
      <w:r>
        <w:rPr>
          <w:rFonts w:ascii="Arial" w:hAnsi="Arial" w:eastAsia="微软雅黑"/>
          <w:b w:val="0"/>
          <w:sz w:val="17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