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</w:t>
            </w:r>
            <w:r>
              <w:rPr>
                <w:rFonts w:hint="eastAsia"/>
                <w:b/>
                <w:color w:val="1F4E79"/>
                <w:sz w:val="19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7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14" w:lineRule="auto"/>
      </w:pPr>
      <w:r>
        <w:rPr>
          <w:rFonts w:ascii="Arial" w:hAnsi="Arial" w:eastAsia="微软雅黑"/>
          <w:b/>
          <w:color w:val="202733"/>
          <w:sz w:val="17"/>
        </w:rPr>
        <w:t>比赛获奖：</w:t>
      </w:r>
      <w:r>
        <w:rPr>
          <w:rFonts w:ascii="Arial" w:hAnsi="Arial" w:eastAsia="微软雅黑"/>
          <w:b w:val="0"/>
          <w:color w:val="202733"/>
          <w:sz w:val="17"/>
        </w:rPr>
        <w:t>全国大学生电子设计竞赛省级二等奖；蓝桥杯省级三等奖。</w:t>
      </w:r>
    </w:p>
    <w:p w14:paraId="2FFC6D63">
      <w:pPr>
        <w:keepNext w:val="0"/>
        <w:keepLines/>
        <w:widowControl w:val="0"/>
        <w:spacing w:before="0" w:after="3" w:line="214" w:lineRule="auto"/>
      </w:pPr>
      <w:r>
        <w:rPr>
          <w:rFonts w:ascii="Arial" w:hAnsi="Arial" w:eastAsia="微软雅黑"/>
          <w:b/>
          <w:color w:val="202733"/>
          <w:sz w:val="17"/>
        </w:rPr>
        <w:t>证书荣誉：</w:t>
      </w:r>
      <w:r>
        <w:rPr>
          <w:rFonts w:ascii="Arial" w:hAnsi="Arial" w:eastAsia="微软雅黑"/>
          <w:b w:val="0"/>
          <w:color w:val="202733"/>
          <w:sz w:val="17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集成示波器、数字万用表、可调直流电源和信号发生器，支持波形实时显示及频率、幅度测量，频率测量误差极小，电压与电阻测量误差1%；支持使用DC-DC升压电路实现直流电压稳定输出；信号发生器输出正弦、方波等，频率档位覆盖50 Hz～80 kHz。</w:t>
      </w:r>
    </w:p>
    <w:p w14:paraId="23109656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架构交互：</w:t>
      </w:r>
      <w:r>
        <w:rPr>
          <w:rFonts w:ascii="Arial" w:hAnsi="Arial" w:eastAsia="微软雅黑"/>
          <w:b w:val="0"/>
          <w:color w:val="202733"/>
          <w:sz w:val="17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并发优化：</w:t>
      </w:r>
      <w:r>
        <w:rPr>
          <w:rFonts w:ascii="Arial" w:hAnsi="Arial" w:eastAsia="微软雅黑"/>
          <w:b w:val="0"/>
          <w:color w:val="202733"/>
          <w:sz w:val="17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测量与调试：</w:t>
      </w:r>
      <w:r>
        <w:rPr>
          <w:rFonts w:ascii="Arial" w:hAnsi="Arial" w:eastAsia="微软雅黑"/>
          <w:b w:val="0"/>
          <w:color w:val="202733"/>
          <w:sz w:val="17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边缘AI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并开启激光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模型训练：</w:t>
      </w:r>
      <w:r>
        <w:rPr>
          <w:rFonts w:ascii="Arial" w:hAnsi="Arial" w:eastAsia="微软雅黑"/>
          <w:b w:val="0"/>
          <w:color w:val="202733"/>
          <w:sz w:val="17"/>
        </w:rPr>
        <w:t>为解决各种环境对识别精度影响，自采多环境靶标图像，通过Make Sense标注并借助AI校验标注质量；在AI Cube完成目标检测模型训练与板端部署，实现不同环境下的矩形靶标准确识别。</w:t>
      </w:r>
    </w:p>
    <w:p w14:paraId="748B00C0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融合定位：</w:t>
      </w:r>
      <w:r>
        <w:rPr>
          <w:rFonts w:ascii="Arial" w:hAnsi="Arial" w:eastAsia="微软雅黑"/>
          <w:b w:val="0"/>
          <w:color w:val="202733"/>
          <w:sz w:val="17"/>
        </w:rPr>
        <w:t>将AI检测框与几何四角统一到同帧原图坐标并匹配，优先通过四角对角线交点求心；几何失效但AI有效时切换至检测框中心，继续提供靶心位置反馈。</w:t>
      </w:r>
    </w:p>
    <w:p w14:paraId="6915ADBA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稳健反馈：</w:t>
      </w:r>
      <w:r>
        <w:rPr>
          <w:rFonts w:ascii="Arial" w:hAnsi="Arial" w:eastAsia="微软雅黑"/>
          <w:b w:val="0"/>
          <w:color w:val="202733"/>
          <w:sz w:val="17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44020B3A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负责视觉算法、灰度采集与OLED/按键交互。</w:t>
      </w:r>
    </w:p>
    <w:p w14:paraId="3FE214A0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系统开发：</w:t>
      </w:r>
      <w:r>
        <w:rPr>
          <w:rFonts w:ascii="Arial" w:hAnsi="Arial" w:eastAsia="微软雅黑"/>
          <w:b w:val="0"/>
          <w:color w:val="202733"/>
          <w:sz w:val="17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功耗优化：</w:t>
      </w:r>
      <w:r>
        <w:rPr>
          <w:rFonts w:ascii="Arial" w:hAnsi="Arial" w:eastAsia="微软雅黑"/>
          <w:b w:val="0"/>
          <w:color w:val="202733"/>
          <w:sz w:val="17"/>
        </w:rPr>
        <w:t>结合Stop模式、代码系统优化、外设供电门控与休眠控制，抑制GPIO漏电并隔离断电外设信号，将整板待机电流控制在µA级。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协议开发：</w:t>
      </w:r>
      <w:r>
        <w:rPr>
          <w:rFonts w:ascii="Arial" w:hAnsi="Arial" w:eastAsia="微软雅黑"/>
          <w:b w:val="0"/>
          <w:color w:val="202733"/>
          <w:sz w:val="17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09863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D83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7"/>
              </w:rPr>
              <w:t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9B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7"/>
              </w:rPr>
              <w:t>2025.10—2025.11</w:t>
            </w:r>
          </w:p>
        </w:tc>
      </w:tr>
    </w:tbl>
    <w:p w14:paraId="34A1DF8F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产品认知：</w:t>
      </w:r>
      <w:r>
        <w:rPr>
          <w:rFonts w:ascii="Arial" w:hAnsi="Arial" w:eastAsia="微软雅黑"/>
          <w:b w:val="0"/>
          <w:color w:val="202733"/>
          <w:sz w:val="17"/>
        </w:rPr>
        <w:t>结合智能电表及采集终端PCBA，梳理电源、采样、计量、通信与防护模块，理解三相四线计量及主要器件连接关系。</w:t>
      </w:r>
    </w:p>
    <w:p w14:paraId="2E513AAC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开发板实践：</w:t>
      </w:r>
      <w:r>
        <w:rPr>
          <w:rFonts w:ascii="Arial" w:hAnsi="Arial" w:eastAsia="微软雅黑"/>
          <w:b w:val="0"/>
          <w:color w:val="202733"/>
          <w:sz w:val="17"/>
        </w:rPr>
        <w:t>参与电能表开发板操作及测试，结合培训梳理工况事件、远程费控、主动上报的输入条件、软件处理与设备响应。</w:t>
      </w:r>
    </w:p>
    <w:p w14:paraId="180021B6">
      <w:pPr>
        <w:keepNext w:val="0"/>
        <w:keepLines/>
        <w:widowControl w:val="0"/>
        <w:spacing w:before="0" w:after="4" w:line="214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通信与排查：</w:t>
      </w:r>
      <w:r>
        <w:rPr>
          <w:rFonts w:ascii="Arial" w:hAnsi="Arial" w:eastAsia="微软雅黑"/>
          <w:b w:val="0"/>
          <w:color w:val="202733"/>
          <w:sz w:val="17"/>
        </w:rPr>
        <w:t>学习RS485、电力线载波及耦合原理，整理“供电接线—信号输入—通信参数—软件状态”分层排查思路，辅助问题定位。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2" w:after="10" w:line="214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41564090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编程基础：</w:t>
      </w:r>
      <w:r>
        <w:rPr>
          <w:rFonts w:ascii="Arial" w:hAnsi="Arial" w:eastAsia="微软雅黑"/>
          <w:b w:val="0"/>
          <w:sz w:val="17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内核与实时系统：</w:t>
      </w:r>
      <w:r>
        <w:rPr>
          <w:rFonts w:ascii="Arial" w:hAnsi="Arial" w:eastAsia="微软雅黑"/>
          <w:b w:val="0"/>
          <w:sz w:val="17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通信与协议：</w:t>
      </w:r>
      <w:r>
        <w:rPr>
          <w:rFonts w:ascii="Arial" w:hAnsi="Arial" w:eastAsia="微软雅黑"/>
          <w:b w:val="0"/>
          <w:sz w:val="17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开发与调试：</w:t>
      </w:r>
      <w:r>
        <w:rPr>
          <w:rFonts w:ascii="Arial" w:hAnsi="Arial" w:eastAsia="微软雅黑"/>
          <w:b w:val="0"/>
          <w:sz w:val="17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214" w:lineRule="auto"/>
      </w:pPr>
      <w:r>
        <w:rPr>
          <w:rFonts w:ascii="Arial" w:hAnsi="Arial" w:eastAsia="微软雅黑"/>
          <w:b/>
          <w:sz w:val="17"/>
        </w:rPr>
        <w:t>AI工具：</w:t>
      </w:r>
      <w:r>
        <w:rPr>
          <w:rFonts w:ascii="Arial" w:hAnsi="Arial" w:eastAsia="微软雅黑"/>
          <w:b w:val="0"/>
          <w:sz w:val="17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