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  <w:gridCol w:w="1587"/>
      </w:tblGrid>
      <w:tr w14:paraId="3861E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80" w:type="dxa"/>
            <w:tcBorders/>
            <w:tcMar>
              <w:top w:w="0" w:type="dxa"/>
              <w:left w:w="0" w:type="dxa"/>
              <w:bottom w:w="25" w:type="dxa"/>
              <w:right w:w="40" w:type="dxa"/>
            </w:tcMar>
            <w:vAlign w:val="center"/>
          </w:tcPr>
          <w:p w14:paraId="2433E24D">
            <w:pPr>
              <w:keepNext/>
              <w:keepLines/>
              <w:widowControl w:val="0"/>
              <w:spacing w:before="0" w:after="8" w:line="240" w:lineRule="auto"/>
            </w:pPr>
            <w:r>
              <w:rPr>
                <w:rFonts w:ascii="Arial" w:hAnsi="Arial" w:eastAsia="微软雅黑"/>
                <w:b/>
                <w:color w:val="1F4E79"/>
                <w:sz w:val="43"/>
              </w:rPr>
              <w:t>彭博裕</w:t>
            </w:r>
            <w:r>
              <w:rPr>
                <w:rFonts w:ascii="Arial" w:hAnsi="Arial" w:eastAsia="微软雅黑"/>
                <w:b/>
                <w:color w:val="1F4E79"/>
                <w:sz w:val="19"/>
              </w:rPr>
              <w:t xml:space="preserve">   求职意向：嵌入式软件工程师</w:t>
            </w:r>
          </w:p>
          <w:p w14:paraId="624AEFB6">
            <w:pPr>
              <w:keepNext/>
              <w:keepLines/>
              <w:widowControl w:val="0"/>
              <w:spacing w:before="200" w:after="9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9"/>
                <w:szCs w:val="19"/>
              </w:rPr>
              <w:t>电话：17668025109   邮箱：pbyuqianrushi@163.com   2027届</w:t>
            </w:r>
          </w:p>
        </w:tc>
        <w:tc>
          <w:tcPr>
            <w:tcW w:w="208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93F55">
            <w:pPr>
              <w:spacing w:after="0"/>
              <w:jc w:val="right"/>
            </w:pPr>
            <w:r>
              <w:drawing>
                <wp:inline distT="0" distB="0" distL="114300" distR="114300">
                  <wp:extent cx="720000" cy="1008000"/>
                  <wp:effectExtent l="0" t="0" r="127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3F8A1">
      <w:pPr>
        <w:keepNext/>
        <w:keepLines/>
        <w:widowControl w:val="0"/>
        <w:pBdr>
          <w:bottom w:val="single" w:color="1F4E79" w:sz="12" w:space="1"/>
        </w:pBdr>
        <w:spacing w:before="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教育背景</w:t>
      </w:r>
    </w:p>
    <w:tbl>
      <w:tblPr>
        <w:tblStyle w:val="32"/>
        <w:tblW w:w="0" w:type="auto"/>
        <w:jc w:val="lef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108" w:type="dxa"/>
        </w:tblCellMar>
      </w:tblPr>
      <w:tblGrid>
        <w:gridCol w:w="2609"/>
        <w:gridCol w:w="2609"/>
        <w:gridCol w:w="2609"/>
        <w:gridCol w:w="2609"/>
      </w:tblGrid>
      <w:tr w14:paraId="60A7E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9DD0D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6"/>
              </w:rPr>
              <w:t>2023.09—2027.06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93F9C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/>
                <w:color w:val="202733"/>
                <w:sz w:val="16"/>
              </w:rPr>
              <w:t>山东建筑大学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54B40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6"/>
              </w:rPr>
              <w:t>物联网工程｜本科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91D29">
            <w:pPr>
              <w:keepNext w:val="0"/>
              <w:keepLines/>
              <w:widowControl w:val="0"/>
              <w:spacing w:before="0" w:after="0" w:line="240" w:lineRule="auto"/>
              <w:jc w:val="right"/>
            </w:pPr>
            <w:r>
              <w:rPr>
                <w:rFonts w:ascii="Arial" w:hAnsi="Arial" w:eastAsia="微软雅黑"/>
                <w:b w:val="0"/>
                <w:color w:val="202733"/>
                <w:sz w:val="16"/>
              </w:rPr>
              <w:t>专业综合测评排名前10%</w:t>
            </w:r>
          </w:p>
        </w:tc>
      </w:tr>
    </w:tbl>
    <w:p w14:paraId="1E1B62B4">
      <w:pPr>
        <w:keepNext/>
        <w:keepLines/>
        <w:widowControl w:val="0"/>
        <w:pBdr>
          <w:bottom w:val="single" w:color="1F4E79" w:sz="12" w:space="1"/>
        </w:pBdr>
        <w:spacing w:before="16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竞赛与荣誉</w:t>
      </w:r>
    </w:p>
    <w:p w14:paraId="108BBAE1">
      <w:pPr>
        <w:keepNext w:val="0"/>
        <w:keepLines/>
        <w:widowControl w:val="0"/>
        <w:spacing w:before="0" w:after="3" w:line="230" w:lineRule="auto"/>
      </w:pPr>
      <w:r>
        <w:rPr>
          <w:rFonts w:ascii="Arial" w:hAnsi="Arial" w:eastAsia="微软雅黑"/>
          <w:b/>
          <w:color w:val="202733"/>
          <w:sz w:val="16"/>
        </w:rPr>
        <w:t>比赛获奖：</w:t>
      </w:r>
      <w:r>
        <w:rPr>
          <w:rFonts w:ascii="Arial" w:hAnsi="Arial" w:eastAsia="微软雅黑"/>
          <w:b w:val="0"/>
          <w:color w:val="202733"/>
          <w:sz w:val="16"/>
        </w:rPr>
        <w:t>全国大学生电子设计竞赛省级二等奖；蓝桥杯省级三等奖。</w:t>
      </w:r>
    </w:p>
    <w:p w14:paraId="662DC360">
      <w:pPr>
        <w:keepNext w:val="0"/>
        <w:keepLines/>
        <w:widowControl w:val="0"/>
        <w:spacing w:before="0" w:after="3" w:line="230" w:lineRule="auto"/>
      </w:pPr>
      <w:r>
        <w:rPr>
          <w:rFonts w:ascii="Arial" w:hAnsi="Arial" w:eastAsia="微软雅黑"/>
          <w:b/>
          <w:sz w:val="16"/>
        </w:rPr>
        <w:t>证书荣誉：</w:t>
      </w:r>
      <w:r>
        <w:rPr>
          <w:rFonts w:ascii="Arial" w:hAnsi="Arial" w:eastAsia="微软雅黑"/>
          <w:b w:val="0"/>
          <w:sz w:val="16"/>
        </w:rPr>
        <w:t>英语四级（CET-4）；三好学生、优秀学生（个人）、优秀共青团员。</w:t>
      </w:r>
    </w:p>
    <w:p w14:paraId="64C88088">
      <w:pPr>
        <w:keepNext w:val="0"/>
        <w:keepLines/>
        <w:widowControl w:val="0"/>
        <w:spacing w:before="0" w:after="3" w:line="230" w:lineRule="auto"/>
      </w:pPr>
      <w:bookmarkStart w:id="0" w:name="_GoBack"/>
      <w:bookmarkEnd w:id="0"/>
      <w:r>
        <w:rPr>
          <w:rFonts w:ascii="Arial" w:hAnsi="Arial" w:eastAsia="微软雅黑"/>
          <w:b/>
          <w:color w:val="202733"/>
          <w:sz w:val="16"/>
        </w:rPr>
        <w:t>项目实践：</w:t>
      </w:r>
      <w:r>
        <w:rPr>
          <w:rFonts w:ascii="Arial" w:hAnsi="Arial" w:eastAsia="微软雅黑"/>
          <w:b w:val="0"/>
          <w:color w:val="202733"/>
          <w:sz w:val="16"/>
        </w:rPr>
        <w:t>负责组织开放实验项目，并验收优秀。</w:t>
      </w:r>
    </w:p>
    <w:p w14:paraId="26DB8DD6">
      <w:pPr>
        <w:keepNext/>
        <w:keepLines/>
        <w:widowControl w:val="0"/>
        <w:pBdr>
          <w:bottom w:val="single" w:color="1F4E79" w:sz="12" w:space="1"/>
        </w:pBdr>
        <w:spacing w:before="16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项目经历</w:t>
      </w:r>
    </w:p>
    <w:tbl>
      <w:tblPr>
        <w:tblStyle w:val="32"/>
        <w:tblW w:w="0" w:type="auto"/>
        <w:jc w:val="lef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108" w:type="dxa"/>
        </w:tblCellMar>
      </w:tblPr>
      <w:tblGrid>
        <w:gridCol w:w="6500"/>
        <w:gridCol w:w="3938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基于STM32F103RCT6的综合测量平台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>FreeRTOS · 实时采集 · 事件驱动</w:t>
            </w:r>
          </w:p>
        </w:tc>
      </w:tr>
    </w:tbl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项目简介：</w:t>
      </w:r>
      <w:r>
        <w:rPr>
          <w:rFonts w:ascii="Arial" w:hAnsi="Arial" w:eastAsia="微软雅黑"/>
          <w:b w:val="0"/>
          <w:sz w:val="16"/>
        </w:rPr>
        <w:t>集成示波器、数字万用表、可调直流电源和信号发生器，支持波形实时显示及频率、幅度测量，频率测量误差1 Hz，电压与电阻测量误差1%；支持直流电压稳定输出，信号发生器输出波形与频率可调。</w:t>
      </w:r>
    </w:p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项目职责：</w:t>
      </w:r>
      <w:r>
        <w:rPr>
          <w:rFonts w:ascii="Arial" w:hAnsi="Arial" w:eastAsia="微软雅黑"/>
          <w:b w:val="0"/>
          <w:sz w:val="16"/>
        </w:rPr>
        <w:t>硬件电路设计、软件架构设计与系统开发调试。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架构交互：</w:t>
      </w:r>
      <w:r>
        <w:rPr>
          <w:rFonts w:ascii="Arial" w:hAnsi="Arial" w:eastAsia="微软雅黑"/>
          <w:b w:val="0"/>
          <w:color w:val="202733"/>
          <w:sz w:val="16"/>
        </w:rPr>
        <w:t>独立完成FreeRTOS移植与软件分层设计，结合邮箱、事件组及信号量，实现最新测量值传递、屏幕按需局部刷新与DMA传输同步。</w:t>
      </w:r>
    </w:p>
    <w:p w14:paraId="69486DCE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并发优化：</w:t>
      </w:r>
      <w:r>
        <w:rPr>
          <w:rFonts w:ascii="Arial" w:hAnsi="Arial" w:eastAsia="微软雅黑"/>
          <w:b w:val="0"/>
          <w:color w:val="202733"/>
          <w:sz w:val="16"/>
        </w:rPr>
        <w:t>针对采集与显示共享缓冲区的读写冲突，设计双缓冲与状态机协同机制，管理波形数据的读写权限和切换时机，保证单帧绘制期间数据一致，避免新旧帧混用。</w:t>
      </w:r>
    </w:p>
    <w:p w14:paraId="0BA60A3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测量与调试：</w:t>
      </w:r>
      <w:r>
        <w:rPr>
          <w:rFonts w:ascii="Arial" w:hAnsi="Arial" w:eastAsia="微软雅黑"/>
          <w:b w:val="0"/>
          <w:color w:val="202733"/>
          <w:sz w:val="16"/>
        </w:rPr>
        <w:t>采用内部参考电压校准及分压、偏置补偿，提升测量准确性；优化采样率与波表长度配置、定时参数计算及更新时序，修正低频输出偏差，实现频率切换及时生效。</w:t>
      </w:r>
    </w:p>
    <w:tbl>
      <w:tblPr>
        <w:tblStyle w:val="32"/>
        <w:tblW w:w="0" w:type="auto"/>
        <w:jc w:val="lef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108" w:type="dxa"/>
        </w:tblCellMar>
      </w:tblPr>
      <w:tblGrid>
        <w:gridCol w:w="6500"/>
        <w:gridCol w:w="3938"/>
      </w:tblGrid>
      <w:tr w14:paraId="206A4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37133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低功耗LoRa环境监测节点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B84EF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>低功耗管理 · 无线通信 · 网关开发</w:t>
            </w:r>
          </w:p>
        </w:tc>
      </w:tr>
    </w:tbl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项目简介：</w:t>
      </w:r>
      <w:r>
        <w:rPr>
          <w:rFonts w:ascii="Arial" w:hAnsi="Arial" w:eastAsia="微软雅黑"/>
          <w:b w:val="0"/>
          <w:sz w:val="16"/>
        </w:rPr>
        <w:t>基于STM32F103C8T6，完成集环境数据采集、周期无线上报与网关异常记录于一体的低功耗监测节点，实现整机休眠电流实测约54µA；按1100mAh电池容量及既定上报工况，预留裕量后估算续航约8个月。</w:t>
      </w:r>
    </w:p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项目职责：</w:t>
      </w:r>
      <w:r>
        <w:rPr>
          <w:rFonts w:ascii="Arial" w:hAnsi="Arial" w:eastAsia="微软雅黑"/>
          <w:b w:val="0"/>
          <w:sz w:val="16"/>
        </w:rPr>
        <w:t>负责方案选型、软件开发与整板调试。</w:t>
      </w:r>
    </w:p>
    <w:p w14:paraId="2B719989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系统开发：</w:t>
      </w:r>
      <w:r>
        <w:rPr>
          <w:rFonts w:ascii="Arial" w:hAnsi="Arial" w:eastAsia="微软雅黑"/>
          <w:b w:val="0"/>
          <w:color w:val="202733"/>
          <w:sz w:val="16"/>
        </w:rPr>
        <w:t>分层封装传感器驱动与采集逻辑，设计RTC周期采集与按键唤醒双事件机制，支持无网关条件下现场查看数据，并通过有效性检查标识采集异常。</w:t>
      </w:r>
    </w:p>
    <w:p w14:paraId="6C472281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功耗优化：</w:t>
      </w:r>
      <w:r>
        <w:rPr>
          <w:rFonts w:ascii="Arial" w:hAnsi="Arial" w:eastAsia="微软雅黑"/>
          <w:b w:val="0"/>
          <w:color w:val="202733"/>
          <w:sz w:val="16"/>
        </w:rPr>
        <w:t>结合Stop模式、外设供电门控与休眠控制，抑制GPIO漏电并隔离断电外设信号，将整板待机电流控制在µA级。</w:t>
      </w:r>
    </w:p>
    <w:p w14:paraId="6132790E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协议开发：</w:t>
      </w:r>
      <w:r>
        <w:rPr>
          <w:rFonts w:ascii="Arial" w:hAnsi="Arial" w:eastAsia="微软雅黑"/>
          <w:b w:val="0"/>
          <w:color w:val="202733"/>
          <w:sz w:val="16"/>
        </w:rPr>
        <w:t>设计CRC校验、序号匹配及ACK超时有限重试机制，实现上报确认与传输异常处理；开发PC网关完成数据解析及带时间的故障日志记录，支持采集异常追溯。</w:t>
      </w:r>
    </w:p>
    <w:tbl>
      <w:tblPr>
        <w:tblStyle w:val="32"/>
        <w:tblW w:w="0" w:type="auto"/>
        <w:jc w:val="lef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108" w:type="dxa"/>
        </w:tblCellMar>
      </w:tblPr>
      <w:tblGrid>
        <w:gridCol w:w="6500"/>
        <w:gridCol w:w="3938"/>
      </w:tblGrid>
      <w:tr w14:paraId="066A8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E49EF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基于MSPM0与K230的移动目标瞄准系统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F6BE0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>机器视觉 · Python · 几何定位</w:t>
            </w:r>
          </w:p>
        </w:tc>
      </w:tr>
    </w:tbl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项目简介：</w:t>
      </w:r>
      <w:r>
        <w:rPr>
          <w:rFonts w:ascii="Arial" w:hAnsi="Arial" w:eastAsia="微软雅黑"/>
          <w:b w:val="0"/>
          <w:sz w:val="16"/>
        </w:rPr>
        <w:t>面向小车行驶过程中的激光自动瞄准，采用灰度阈值分割与矩形检测，结合几何约束筛选靶标、解算靶心并输出瞄准偏差。实现启动后2秒内完成瞄准并开启激光，打靶误差＜1.5cm；小车稳定行驶时误差＜2cm。</w:t>
      </w:r>
    </w:p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项目职责：</w:t>
      </w:r>
      <w:r>
        <w:rPr>
          <w:rFonts w:ascii="Arial" w:hAnsi="Arial" w:eastAsia="微软雅黑"/>
          <w:b w:val="0"/>
          <w:sz w:val="16"/>
        </w:rPr>
        <w:t>负责视觉算法、灰度采集与OLED/按键交互。</w:t>
      </w:r>
    </w:p>
    <w:p w14:paraId="3FCDF852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目标筛选：</w:t>
      </w:r>
      <w:r>
        <w:rPr>
          <w:rFonts w:ascii="Arial" w:hAnsi="Arial" w:eastAsia="微软雅黑"/>
          <w:b w:val="0"/>
          <w:color w:val="202733"/>
          <w:sz w:val="16"/>
        </w:rPr>
        <w:t>在矩形检测基础上，融合面积、对边长度差及平行垂直约束校验候选靶框，并按面积优先逐一筛选，避免单一最大框选择造成目标遗漏。</w:t>
      </w:r>
    </w:p>
    <w:p w14:paraId="6E5C48E1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中心定位：</w:t>
      </w:r>
      <w:r>
        <w:rPr>
          <w:rFonts w:ascii="Arial" w:hAnsi="Arial" w:eastAsia="微软雅黑"/>
          <w:b w:val="0"/>
          <w:color w:val="202733"/>
          <w:sz w:val="16"/>
        </w:rPr>
        <w:t>利用靶框四角的对角线交点定位靶心，结合交点有效性与坐标边界检查排除异常结果；计算靶心相对画面中心的水平、垂直偏差，经串口输出，为云台调整瞄准方向提供依据。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光照适配：</w:t>
      </w:r>
      <w:r>
        <w:rPr>
          <w:rFonts w:ascii="Arial" w:hAnsi="Arial" w:eastAsia="微软雅黑"/>
          <w:b w:val="0"/>
          <w:color w:val="202733"/>
          <w:sz w:val="16"/>
        </w:rPr>
        <w:t>基于Otsu自动估计灰度阈值，通过按键触发重估、帧间保持阈值，实现不同光环境下的阈值校准；对无灰度对比的画面跳过识别并重试，避免无效画面参与阈值估计。</w:t>
      </w:r>
    </w:p>
    <w:p w14:paraId="651D5D01">
      <w:pPr>
        <w:keepNext/>
        <w:keepLines/>
        <w:widowControl w:val="0"/>
        <w:pBdr>
          <w:bottom w:val="single" w:color="1F4E79" w:sz="12" w:space="1"/>
        </w:pBdr>
        <w:spacing w:before="16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校园经历</w:t>
      </w:r>
    </w:p>
    <w:tbl>
      <w:tblPr>
        <w:tblStyle w:val="32"/>
        <w:tblW w:w="0" w:type="auto"/>
        <w:jc w:val="lef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108" w:type="dxa"/>
        </w:tblCellMar>
      </w:tblPr>
      <w:tblGrid>
        <w:gridCol w:w="7179"/>
        <w:gridCol w:w="3259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1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山东建筑大学校学生会科创部</w:t>
            </w:r>
            <w:r>
              <w:rPr>
                <w:rFonts w:ascii="Arial" w:hAnsi="Arial" w:eastAsia="微软雅黑"/>
                <w:b w:val="0"/>
                <w:color w:val="1F4E79"/>
                <w:sz w:val="16"/>
              </w:rPr>
              <w:t>｜部长</w:t>
            </w:r>
          </w:p>
        </w:tc>
        <w:tc>
          <w:tcPr>
            <w:tcW w:w="32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5B6573"/>
                <w:sz w:val="16"/>
              </w:rPr>
              <w:t>2023.09—2025.06</w:t>
            </w:r>
          </w:p>
        </w:tc>
      </w:tr>
    </w:tbl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科创组织：</w:t>
      </w:r>
      <w:r>
        <w:rPr>
          <w:rFonts w:ascii="Arial" w:hAnsi="Arial" w:eastAsia="微软雅黑"/>
          <w:b w:val="0"/>
          <w:color w:val="202733"/>
          <w:sz w:val="16"/>
        </w:rPr>
        <w:t>统筹约50名成员，参与组织电赛、西门子杯、蓝桥杯及国产MCU产品等校级宣讲，负责人员分工、跨部门协调、宣传物料、会场布置与流程安排，保障活动按计划落地。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现场保障：</w:t>
      </w:r>
      <w:r>
        <w:rPr>
          <w:rFonts w:ascii="Arial" w:hAnsi="Arial" w:eastAsia="微软雅黑"/>
          <w:b w:val="0"/>
          <w:color w:val="202733"/>
          <w:sz w:val="16"/>
        </w:rPr>
        <w:t>参与组织文艺晚会、校园歌手大赛等200余人活动，设置双麦克风及主备音响保障方案；音频设备突发故障后按预案切换备用设备，恢复现场声音并保障活动继续进行。</w:t>
      </w:r>
    </w:p>
    <w:p w14:paraId="3F5B6A00">
      <w:pPr>
        <w:keepNext/>
        <w:keepLines/>
        <w:widowControl w:val="0"/>
        <w:pBdr>
          <w:bottom w:val="single" w:color="1F4E79" w:sz="12" w:space="1"/>
        </w:pBdr>
        <w:spacing w:before="16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专业技能</w:t>
      </w:r>
    </w:p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编程基础：</w:t>
      </w:r>
      <w:r>
        <w:rPr>
          <w:rFonts w:ascii="Arial" w:hAnsi="Arial" w:eastAsia="微软雅黑"/>
          <w:b w:val="0"/>
          <w:sz w:val="16"/>
        </w:rPr>
        <w:t>熟悉C语言与Python，掌握常用数据结构，能完成嵌入式模块的代码阅读、改写与调试。</w:t>
      </w:r>
    </w:p>
    <w:p w14:paraId="261CECD4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color w:val="202733"/>
          <w:sz w:val="16"/>
        </w:rPr>
        <w:t>内核与实时系统：</w:t>
      </w:r>
      <w:r>
        <w:rPr>
          <w:rFonts w:ascii="Arial" w:hAnsi="Arial" w:eastAsia="微软雅黑"/>
          <w:b w:val="0"/>
          <w:color w:val="202733"/>
          <w:sz w:val="16"/>
        </w:rPr>
        <w:t>熟悉ARM Cortex-M3/M4内核与FreeRTOS实时操作系统，完成过FreeRTOS移植与项目配置；具有任务调度、内存管理及多任务并发的实践经验，能够处理中断服务与任务间的数据传递和同步。</w:t>
      </w:r>
    </w:p>
    <w:p w14:paraId="72B6D161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通信与协议：</w:t>
      </w:r>
      <w:r>
        <w:rPr>
          <w:rFonts w:ascii="Arial" w:hAnsi="Arial" w:eastAsia="微软雅黑"/>
          <w:b w:val="0"/>
          <w:sz w:val="16"/>
        </w:rPr>
        <w:t>熟悉UART、I²C、SPI等常用通信协议，具备自定义帧协议设计经验，实现过帧格式定义、CRC校验、序号匹配与ACK重传；使用过通信、采集与定时控制类外设。</w:t>
      </w:r>
    </w:p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开发与调试：</w:t>
      </w:r>
      <w:r>
        <w:rPr>
          <w:rFonts w:ascii="Arial" w:hAnsi="Arial" w:eastAsia="微软雅黑"/>
          <w:b w:val="0"/>
          <w:sz w:val="16"/>
        </w:rPr>
        <w:t>熟练使用Keil、STM32CubeMX、VS Code等开发工具，能使用CMake/GCC、OpenOCD、Git完成工程构建、下载与版本管理；结合原理图、数据手册及示波器、万用表等仪器定位软硬件问题。</w:t>
      </w:r>
    </w:p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AI工具：</w:t>
      </w:r>
      <w:r>
        <w:rPr>
          <w:rFonts w:ascii="Arial" w:hAnsi="Arial" w:eastAsia="微软雅黑"/>
          <w:b w:val="0"/>
          <w:sz w:val="16"/>
        </w:rPr>
        <w:t>熟练使用Codex、Claude Code、DeepSeek Harness、ZCode辅助代码阅读、调试与文档整理。</w:t>
      </w:r>
    </w:p>
    <w:sectPr>
      <w:pgSz w:w="11906" w:h="16838"/>
      <w:pgMar w:top="280" w:right="734" w:bottom="259" w:left="734" w:header="115" w:footer="11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A7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2" w:lineRule="auto"/>
    </w:pPr>
    <w:rPr>
      <w:rFonts w:ascii="Arial" w:hAnsi="Arial" w:eastAsia="微软雅黑" w:cstheme="minorBidi"/>
      <w:color w:val="202733"/>
      <w:sz w:val="1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1654</Words>
  <Characters>2355</Characters>
  <Lines>0</Lines>
  <Paragraphs>0</Paragraphs>
  <TotalTime>1</TotalTime>
  <ScaleCrop>false</ScaleCrop>
  <LinksUpToDate>false</LinksUpToDate>
  <CharactersWithSpaces>2393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彭</dc:creator>
  <cp:keywords>STM32, FreeRTOS, 嵌入式, 物联网</cp:keywords>
  <cp:lastModifiedBy>彭</cp:lastModifiedBy>
  <dcterms:modified xsi:type="dcterms:W3CDTF">2026-08-29T01:30:29Z</dcterms:modified>
  <dc:subject>求职简历</dc:subject>
  <dc:title>彭博裕 - 嵌入式软件工程师 - 通用版 20260917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eyJoZGlkIjoiNDlmODY1YmFkYTM3MTE0NjY3OTcwNjkyNzE4MzcwMDkiLCJ1c2VySWQiOiIxMjI5MzIzNjMyIn0=</vt:lpwstr>
  </property>
  <property fmtid="{D5CDD505-2E9C-101B-9397-08002B2CF9AE}" pid="3" name="KSOProductBuildVer">
    <vt:lpwstr>2052-12.1.0.28043</vt:lpwstr>
  </property>
  <property fmtid="{D5CDD505-2E9C-101B-9397-08002B2CF9AE}" pid="4" name="ICV">
    <vt:lpwstr>59EB3B035A90490CA31DD3B56BB23C6D_12</vt:lpwstr>
  </property>
</Properties>
</file>