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A468C" w14:textId="77777777" w:rsidR="00A73BBA" w:rsidRDefault="00000000">
      <w:pPr>
        <w:spacing w:after="60"/>
      </w:pPr>
      <w:r>
        <w:rPr>
          <w:rFonts w:ascii="Calibri" w:eastAsia="Calibri" w:hAnsi="Calibri" w:cs="Calibri"/>
          <w:b/>
          <w:bCs/>
          <w:color w:val="1F3864"/>
          <w:sz w:val="32"/>
          <w:szCs w:val="32"/>
        </w:rPr>
        <w:t>Guarantee quality checklist: assessing sovereign and quasi-sovereign backing</w:t>
      </w:r>
    </w:p>
    <w:p w14:paraId="524116F1" w14:textId="77777777" w:rsidR="00A73BBA" w:rsidRDefault="00000000">
      <w:pPr>
        <w:pBdr>
          <w:bottom w:val="single" w:sz="6" w:space="8" w:color="2E5395"/>
        </w:pBdr>
        <w:spacing w:after="300"/>
      </w:pPr>
      <w:r>
        <w:rPr>
          <w:rFonts w:ascii="Calibri" w:eastAsia="Calibri" w:hAnsi="Calibri" w:cs="Calibri"/>
          <w:i/>
          <w:iCs/>
          <w:color w:val="555555"/>
          <w:sz w:val="24"/>
          <w:szCs w:val="24"/>
        </w:rPr>
        <w:t>A companion reference to “When does a guarantee actually transfer sovereign risk?”</w:t>
      </w:r>
    </w:p>
    <w:p w14:paraId="2619EA3A" w14:textId="77777777" w:rsidR="00A73BBA" w:rsidRDefault="00000000">
      <w:pPr>
        <w:spacing w:after="200" w:line="276" w:lineRule="auto"/>
      </w:pPr>
      <w:r>
        <w:rPr>
          <w:rFonts w:ascii="Calibri" w:eastAsia="Calibri" w:hAnsi="Calibri" w:cs="Calibri"/>
          <w:sz w:val="22"/>
          <w:szCs w:val="22"/>
        </w:rPr>
        <w:t>A rating or a headline “government guaranteed” label tells you almost nothing on its own. This checklist sets out what actually determines whether a guarantee transfers meaningful credit protection to a bondholder, or just repackages the same risk with a reassuring label attached, followed by a poor-to-strong scale for placing a given instrument on that spectrum. It is built to be used directly against a specific bond's documentation, and is referenced throughout the companion piece on pricing Egyptian quasi-sovereign issuance.</w:t>
      </w:r>
    </w:p>
    <w:p w14:paraId="4B3B8245" w14:textId="77777777" w:rsidR="00A73BBA" w:rsidRDefault="00000000">
      <w:pPr>
        <w:pStyle w:val="Heading1"/>
        <w:spacing w:before="120" w:after="160"/>
      </w:pPr>
      <w:r>
        <w:rPr>
          <w:rFonts w:ascii="Calibri" w:eastAsia="Calibri" w:hAnsi="Calibri" w:cs="Calibri"/>
          <w:b/>
          <w:bCs/>
          <w:color w:val="1F3864"/>
          <w:sz w:val="26"/>
          <w:szCs w:val="26"/>
        </w:rPr>
        <w:t>Quick-reference scorecard</w:t>
      </w:r>
    </w:p>
    <w:p w14:paraId="45016AAE" w14:textId="77777777" w:rsidR="00A73BBA" w:rsidRDefault="00000000">
      <w:pPr>
        <w:spacing w:after="160" w:line="276" w:lineRule="auto"/>
      </w:pPr>
      <w:r>
        <w:rPr>
          <w:rFonts w:ascii="Calibri" w:eastAsia="Calibri" w:hAnsi="Calibri" w:cs="Calibri"/>
          <w:sz w:val="22"/>
          <w:szCs w:val="22"/>
        </w:rPr>
        <w:t>A compressed version of the full checklist, for scoring a specific instrument quickly. The detailed sections that follow give the reasoning behind each cell and should be consulted whenever a factor is ambiguous – this table is a starting point, not a substitute for reading the documentation.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2200"/>
        <w:gridCol w:w="2387"/>
        <w:gridCol w:w="2387"/>
        <w:gridCol w:w="2386"/>
      </w:tblGrid>
      <w:tr w:rsidR="00DD20ED" w14:paraId="02AB8512" w14:textId="77777777">
        <w:trPr>
          <w:cantSplit/>
        </w:trPr>
        <w:tc>
          <w:tcPr>
            <w:tcW w:w="2200" w:type="dxa"/>
            <w:shd w:val="clear" w:color="auto" w:fill="1F3864"/>
            <w:tcMar>
              <w:top w:w="80" w:type="dxa"/>
              <w:left w:w="120" w:type="dxa"/>
              <w:bottom w:w="80" w:type="dxa"/>
              <w:right w:w="120" w:type="dxa"/>
            </w:tcMar>
          </w:tcPr>
          <w:p w14:paraId="62667857" w14:textId="77777777" w:rsidR="00DD20ED" w:rsidRDefault="00000000">
            <w:r>
              <w:rPr>
                <w:rFonts w:ascii="Calibri" w:hAnsi="Calibri"/>
                <w:b/>
                <w:color w:val="FFFFFF"/>
                <w:sz w:val="19"/>
              </w:rPr>
              <w:t>Factor</w:t>
            </w:r>
          </w:p>
        </w:tc>
        <w:tc>
          <w:tcPr>
            <w:tcW w:w="2387" w:type="dxa"/>
            <w:shd w:val="clear" w:color="auto" w:fill="1F3864"/>
            <w:tcMar>
              <w:top w:w="80" w:type="dxa"/>
              <w:left w:w="120" w:type="dxa"/>
              <w:bottom w:w="80" w:type="dxa"/>
              <w:right w:w="120" w:type="dxa"/>
            </w:tcMar>
          </w:tcPr>
          <w:p w14:paraId="1023875D" w14:textId="77777777" w:rsidR="00DD20ED" w:rsidRDefault="00000000">
            <w:r>
              <w:rPr>
                <w:rFonts w:ascii="Calibri" w:hAnsi="Calibri"/>
                <w:b/>
                <w:color w:val="FFFFFF"/>
                <w:sz w:val="19"/>
              </w:rPr>
              <w:t>Poor</w:t>
            </w:r>
          </w:p>
        </w:tc>
        <w:tc>
          <w:tcPr>
            <w:tcW w:w="2387" w:type="dxa"/>
            <w:shd w:val="clear" w:color="auto" w:fill="1F3864"/>
            <w:tcMar>
              <w:top w:w="80" w:type="dxa"/>
              <w:left w:w="120" w:type="dxa"/>
              <w:bottom w:w="80" w:type="dxa"/>
              <w:right w:w="120" w:type="dxa"/>
            </w:tcMar>
          </w:tcPr>
          <w:p w14:paraId="3E0CA186" w14:textId="77777777" w:rsidR="00DD20ED" w:rsidRDefault="00000000">
            <w:r>
              <w:rPr>
                <w:rFonts w:ascii="Calibri" w:hAnsi="Calibri"/>
                <w:b/>
                <w:color w:val="FFFFFF"/>
                <w:sz w:val="19"/>
              </w:rPr>
              <w:t>Moderate</w:t>
            </w:r>
          </w:p>
        </w:tc>
        <w:tc>
          <w:tcPr>
            <w:tcW w:w="2386" w:type="dxa"/>
            <w:shd w:val="clear" w:color="auto" w:fill="1F3864"/>
            <w:tcMar>
              <w:top w:w="80" w:type="dxa"/>
              <w:left w:w="120" w:type="dxa"/>
              <w:bottom w:w="80" w:type="dxa"/>
              <w:right w:w="120" w:type="dxa"/>
            </w:tcMar>
          </w:tcPr>
          <w:p w14:paraId="059D6800" w14:textId="77777777" w:rsidR="00DD20ED" w:rsidRDefault="00000000">
            <w:r>
              <w:rPr>
                <w:rFonts w:ascii="Calibri" w:hAnsi="Calibri"/>
                <w:b/>
                <w:color w:val="FFFFFF"/>
                <w:sz w:val="19"/>
              </w:rPr>
              <w:t>Strong</w:t>
            </w:r>
          </w:p>
        </w:tc>
      </w:tr>
      <w:tr w:rsidR="00DD20ED" w14:paraId="0F80DC1F" w14:textId="77777777">
        <w:trPr>
          <w:cantSplit/>
        </w:trPr>
        <w:tc>
          <w:tcPr>
            <w:tcW w:w="2200" w:type="dxa"/>
            <w:tcMar>
              <w:top w:w="80" w:type="dxa"/>
              <w:left w:w="120" w:type="dxa"/>
              <w:bottom w:w="80" w:type="dxa"/>
              <w:right w:w="120" w:type="dxa"/>
            </w:tcMar>
          </w:tcPr>
          <w:p w14:paraId="091CB871" w14:textId="77777777" w:rsidR="00DD20ED" w:rsidRDefault="00000000">
            <w:r>
              <w:rPr>
                <w:rFonts w:ascii="Calibri" w:hAnsi="Calibri"/>
                <w:b/>
                <w:sz w:val="18"/>
              </w:rPr>
              <w:t>1. Explicit vs implicit</w:t>
            </w:r>
          </w:p>
        </w:tc>
        <w:tc>
          <w:tcPr>
            <w:tcW w:w="2387" w:type="dxa"/>
            <w:shd w:val="clear" w:color="auto" w:fill="FCE4E4"/>
            <w:tcMar>
              <w:top w:w="80" w:type="dxa"/>
              <w:left w:w="120" w:type="dxa"/>
              <w:bottom w:w="80" w:type="dxa"/>
              <w:right w:w="120" w:type="dxa"/>
            </w:tcMar>
          </w:tcPr>
          <w:p w14:paraId="2DDC83AC" w14:textId="77777777" w:rsidR="00DD20ED" w:rsidRDefault="00000000">
            <w:r>
              <w:rPr>
                <w:rFonts w:ascii="Calibri" w:hAnsi="Calibri"/>
                <w:sz w:val="18"/>
              </w:rPr>
              <w:t>Implicit only, or a non-binding comfort letter</w:t>
            </w:r>
          </w:p>
        </w:tc>
        <w:tc>
          <w:tcPr>
            <w:tcW w:w="2387" w:type="dxa"/>
            <w:shd w:val="clear" w:color="auto" w:fill="FFF2CC"/>
            <w:tcMar>
              <w:top w:w="80" w:type="dxa"/>
              <w:left w:w="120" w:type="dxa"/>
              <w:bottom w:w="80" w:type="dxa"/>
              <w:right w:w="120" w:type="dxa"/>
            </w:tcMar>
          </w:tcPr>
          <w:p w14:paraId="7FB425ED" w14:textId="77777777" w:rsidR="00DD20ED" w:rsidRDefault="00000000">
            <w:r>
              <w:rPr>
                <w:rFonts w:ascii="Calibri" w:hAnsi="Calibri"/>
                <w:sz w:val="18"/>
              </w:rPr>
              <w:t>Explicit, but embedded in the bond’s own terms rather than standalone</w:t>
            </w:r>
          </w:p>
        </w:tc>
        <w:tc>
          <w:tcPr>
            <w:tcW w:w="2386" w:type="dxa"/>
            <w:shd w:val="clear" w:color="auto" w:fill="E2EFDA"/>
            <w:tcMar>
              <w:top w:w="80" w:type="dxa"/>
              <w:left w:w="120" w:type="dxa"/>
              <w:bottom w:w="80" w:type="dxa"/>
              <w:right w:w="120" w:type="dxa"/>
            </w:tcMar>
          </w:tcPr>
          <w:p w14:paraId="3D1FFEDB" w14:textId="77777777" w:rsidR="00DD20ED" w:rsidRDefault="00000000">
            <w:r>
              <w:rPr>
                <w:rFonts w:ascii="Calibri" w:hAnsi="Calibri"/>
                <w:sz w:val="18"/>
              </w:rPr>
              <w:t>Explicit, standalone guarantee instrument</w:t>
            </w:r>
          </w:p>
        </w:tc>
      </w:tr>
      <w:tr w:rsidR="00DD20ED" w14:paraId="10E41F15" w14:textId="77777777">
        <w:trPr>
          <w:cantSplit/>
        </w:trPr>
        <w:tc>
          <w:tcPr>
            <w:tcW w:w="2200" w:type="dxa"/>
            <w:tcMar>
              <w:top w:w="80" w:type="dxa"/>
              <w:left w:w="120" w:type="dxa"/>
              <w:bottom w:w="80" w:type="dxa"/>
              <w:right w:w="120" w:type="dxa"/>
            </w:tcMar>
          </w:tcPr>
          <w:p w14:paraId="5D894C74" w14:textId="77777777" w:rsidR="00DD20ED" w:rsidRDefault="00000000">
            <w:r>
              <w:rPr>
                <w:rFonts w:ascii="Calibri" w:hAnsi="Calibri"/>
                <w:b/>
                <w:sz w:val="18"/>
              </w:rPr>
              <w:t>2. Governing law &amp; payment standard</w:t>
            </w:r>
          </w:p>
        </w:tc>
        <w:tc>
          <w:tcPr>
            <w:tcW w:w="2387" w:type="dxa"/>
            <w:shd w:val="clear" w:color="auto" w:fill="FCE4E4"/>
            <w:tcMar>
              <w:top w:w="80" w:type="dxa"/>
              <w:left w:w="120" w:type="dxa"/>
              <w:bottom w:w="80" w:type="dxa"/>
              <w:right w:w="120" w:type="dxa"/>
            </w:tcMar>
          </w:tcPr>
          <w:p w14:paraId="7746EB02" w14:textId="77777777" w:rsidR="00DD20ED" w:rsidRDefault="00000000">
            <w:r>
              <w:rPr>
                <w:rFonts w:ascii="Calibri" w:hAnsi="Calibri"/>
                <w:sz w:val="18"/>
              </w:rPr>
              <w:t>Local law; guarantee of collection</w:t>
            </w:r>
          </w:p>
        </w:tc>
        <w:tc>
          <w:tcPr>
            <w:tcW w:w="2387" w:type="dxa"/>
            <w:shd w:val="clear" w:color="auto" w:fill="FFF2CC"/>
            <w:tcMar>
              <w:top w:w="80" w:type="dxa"/>
              <w:left w:w="120" w:type="dxa"/>
              <w:bottom w:w="80" w:type="dxa"/>
              <w:right w:w="120" w:type="dxa"/>
            </w:tcMar>
          </w:tcPr>
          <w:p w14:paraId="76B2A901" w14:textId="77777777" w:rsidR="00DD20ED" w:rsidRDefault="00000000">
            <w:r>
              <w:rPr>
                <w:rFonts w:ascii="Calibri" w:hAnsi="Calibri"/>
                <w:sz w:val="18"/>
              </w:rPr>
              <w:t>Local law with procedural protections, or foreign law with a collection standard</w:t>
            </w:r>
          </w:p>
        </w:tc>
        <w:tc>
          <w:tcPr>
            <w:tcW w:w="2386" w:type="dxa"/>
            <w:shd w:val="clear" w:color="auto" w:fill="E2EFDA"/>
            <w:tcMar>
              <w:top w:w="80" w:type="dxa"/>
              <w:left w:w="120" w:type="dxa"/>
              <w:bottom w:w="80" w:type="dxa"/>
              <w:right w:w="120" w:type="dxa"/>
            </w:tcMar>
          </w:tcPr>
          <w:p w14:paraId="3F0A802D" w14:textId="77777777" w:rsidR="00DD20ED" w:rsidRDefault="00000000">
            <w:r>
              <w:rPr>
                <w:rFonts w:ascii="Calibri" w:hAnsi="Calibri"/>
                <w:sz w:val="18"/>
              </w:rPr>
              <w:t>Foreign or multilateral-governed; guarantee of payment, automatic trigger</w:t>
            </w:r>
          </w:p>
        </w:tc>
      </w:tr>
      <w:tr w:rsidR="00DD20ED" w14:paraId="27A9A4D6" w14:textId="77777777">
        <w:trPr>
          <w:cantSplit/>
        </w:trPr>
        <w:tc>
          <w:tcPr>
            <w:tcW w:w="2200" w:type="dxa"/>
            <w:tcMar>
              <w:top w:w="80" w:type="dxa"/>
              <w:left w:w="120" w:type="dxa"/>
              <w:bottom w:w="80" w:type="dxa"/>
              <w:right w:w="120" w:type="dxa"/>
            </w:tcMar>
          </w:tcPr>
          <w:p w14:paraId="1A892F37" w14:textId="77777777" w:rsidR="00DD20ED" w:rsidRDefault="00000000">
            <w:r>
              <w:rPr>
                <w:rFonts w:ascii="Calibri" w:hAnsi="Calibri"/>
                <w:b/>
                <w:sz w:val="18"/>
              </w:rPr>
              <w:t>3. Immunity waiver</w:t>
            </w:r>
          </w:p>
        </w:tc>
        <w:tc>
          <w:tcPr>
            <w:tcW w:w="2387" w:type="dxa"/>
            <w:shd w:val="clear" w:color="auto" w:fill="FCE4E4"/>
            <w:tcMar>
              <w:top w:w="80" w:type="dxa"/>
              <w:left w:w="120" w:type="dxa"/>
              <w:bottom w:w="80" w:type="dxa"/>
              <w:right w:w="120" w:type="dxa"/>
            </w:tcMar>
          </w:tcPr>
          <w:p w14:paraId="1BE50881" w14:textId="77777777" w:rsidR="00DD20ED" w:rsidRDefault="00000000">
            <w:r>
              <w:rPr>
                <w:rFonts w:ascii="Calibri" w:hAnsi="Calibri"/>
                <w:sz w:val="18"/>
              </w:rPr>
              <w:t>None, or suit only (execution immunity retained)</w:t>
            </w:r>
          </w:p>
        </w:tc>
        <w:tc>
          <w:tcPr>
            <w:tcW w:w="2387" w:type="dxa"/>
            <w:shd w:val="clear" w:color="auto" w:fill="FFF2CC"/>
            <w:tcMar>
              <w:top w:w="80" w:type="dxa"/>
              <w:left w:w="120" w:type="dxa"/>
              <w:bottom w:w="80" w:type="dxa"/>
              <w:right w:w="120" w:type="dxa"/>
            </w:tcMar>
          </w:tcPr>
          <w:p w14:paraId="3C840731" w14:textId="77777777" w:rsidR="00DD20ED" w:rsidRDefault="00000000">
            <w:r>
              <w:rPr>
                <w:rFonts w:ascii="Calibri" w:hAnsi="Calibri"/>
                <w:sz w:val="18"/>
              </w:rPr>
              <w:t>Partial waiver, untested in litigation</w:t>
            </w:r>
          </w:p>
        </w:tc>
        <w:tc>
          <w:tcPr>
            <w:tcW w:w="2386" w:type="dxa"/>
            <w:shd w:val="clear" w:color="auto" w:fill="E2EFDA"/>
            <w:tcMar>
              <w:top w:w="80" w:type="dxa"/>
              <w:left w:w="120" w:type="dxa"/>
              <w:bottom w:w="80" w:type="dxa"/>
              <w:right w:w="120" w:type="dxa"/>
            </w:tcMar>
          </w:tcPr>
          <w:p w14:paraId="3014C3D6" w14:textId="77777777" w:rsidR="00DD20ED" w:rsidRDefault="00000000">
            <w:r>
              <w:rPr>
                <w:rFonts w:ascii="Calibri" w:hAnsi="Calibri"/>
                <w:sz w:val="18"/>
              </w:rPr>
              <w:t>Full waiver (suit and execution), ideally tested precedent</w:t>
            </w:r>
          </w:p>
        </w:tc>
      </w:tr>
      <w:tr w:rsidR="00DD20ED" w14:paraId="101AC318" w14:textId="77777777">
        <w:trPr>
          <w:cantSplit/>
        </w:trPr>
        <w:tc>
          <w:tcPr>
            <w:tcW w:w="2200" w:type="dxa"/>
            <w:tcMar>
              <w:top w:w="80" w:type="dxa"/>
              <w:left w:w="120" w:type="dxa"/>
              <w:bottom w:w="80" w:type="dxa"/>
              <w:right w:w="120" w:type="dxa"/>
            </w:tcMar>
          </w:tcPr>
          <w:p w14:paraId="32257325" w14:textId="77777777" w:rsidR="00DD20ED" w:rsidRDefault="00000000">
            <w:r>
              <w:rPr>
                <w:rFonts w:ascii="Calibri" w:hAnsi="Calibri"/>
                <w:b/>
                <w:sz w:val="18"/>
              </w:rPr>
              <w:t>4. Guarantee scope</w:t>
            </w:r>
          </w:p>
        </w:tc>
        <w:tc>
          <w:tcPr>
            <w:tcW w:w="2387" w:type="dxa"/>
            <w:shd w:val="clear" w:color="auto" w:fill="FCE4E4"/>
            <w:tcMar>
              <w:top w:w="80" w:type="dxa"/>
              <w:left w:w="120" w:type="dxa"/>
              <w:bottom w:w="80" w:type="dxa"/>
              <w:right w:w="120" w:type="dxa"/>
            </w:tcMar>
          </w:tcPr>
          <w:p w14:paraId="61BF1E44" w14:textId="77777777" w:rsidR="00DD20ED" w:rsidRDefault="00000000">
            <w:r>
              <w:rPr>
                <w:rFonts w:ascii="Calibri" w:hAnsi="Calibri"/>
                <w:sz w:val="18"/>
              </w:rPr>
              <w:t>Undefined or purely implicit</w:t>
            </w:r>
          </w:p>
        </w:tc>
        <w:tc>
          <w:tcPr>
            <w:tcW w:w="2387" w:type="dxa"/>
            <w:shd w:val="clear" w:color="auto" w:fill="FFF2CC"/>
            <w:tcMar>
              <w:top w:w="80" w:type="dxa"/>
              <w:left w:w="120" w:type="dxa"/>
              <w:bottom w:w="80" w:type="dxa"/>
              <w:right w:w="120" w:type="dxa"/>
            </w:tcMar>
          </w:tcPr>
          <w:p w14:paraId="7BF91002" w14:textId="77777777" w:rsidR="00DD20ED" w:rsidRDefault="00000000">
            <w:r>
              <w:rPr>
                <w:rFonts w:ascii="Calibri" w:hAnsi="Calibri"/>
                <w:sz w:val="18"/>
              </w:rPr>
              <w:t>Principal only, or conditional / partial coverage</w:t>
            </w:r>
          </w:p>
        </w:tc>
        <w:tc>
          <w:tcPr>
            <w:tcW w:w="2386" w:type="dxa"/>
            <w:shd w:val="clear" w:color="auto" w:fill="E2EFDA"/>
            <w:tcMar>
              <w:top w:w="80" w:type="dxa"/>
              <w:left w:w="120" w:type="dxa"/>
              <w:bottom w:w="80" w:type="dxa"/>
              <w:right w:w="120" w:type="dxa"/>
            </w:tcMar>
          </w:tcPr>
          <w:p w14:paraId="1CE81FDB" w14:textId="77777777" w:rsidR="00DD20ED" w:rsidRDefault="00000000">
            <w:r>
              <w:rPr>
                <w:rFonts w:ascii="Calibri" w:hAnsi="Calibri"/>
                <w:sz w:val="18"/>
              </w:rPr>
              <w:t>Principal plus coupon, unconditional, or a well-structured PCG</w:t>
            </w:r>
          </w:p>
        </w:tc>
      </w:tr>
      <w:tr w:rsidR="00DD20ED" w14:paraId="7414EB66" w14:textId="77777777">
        <w:trPr>
          <w:cantSplit/>
        </w:trPr>
        <w:tc>
          <w:tcPr>
            <w:tcW w:w="2200" w:type="dxa"/>
            <w:tcMar>
              <w:top w:w="80" w:type="dxa"/>
              <w:left w:w="120" w:type="dxa"/>
              <w:bottom w:w="80" w:type="dxa"/>
              <w:right w:w="120" w:type="dxa"/>
            </w:tcMar>
          </w:tcPr>
          <w:p w14:paraId="6DBB1B79" w14:textId="77777777" w:rsidR="00DD20ED" w:rsidRDefault="00000000">
            <w:r>
              <w:rPr>
                <w:rFonts w:ascii="Calibri" w:hAnsi="Calibri"/>
                <w:b/>
                <w:sz w:val="18"/>
              </w:rPr>
              <w:t>5. Payment mechanism</w:t>
            </w:r>
          </w:p>
        </w:tc>
        <w:tc>
          <w:tcPr>
            <w:tcW w:w="2387" w:type="dxa"/>
            <w:shd w:val="clear" w:color="auto" w:fill="FCE4E4"/>
            <w:tcMar>
              <w:top w:w="80" w:type="dxa"/>
              <w:left w:w="120" w:type="dxa"/>
              <w:bottom w:w="80" w:type="dxa"/>
              <w:right w:w="120" w:type="dxa"/>
            </w:tcMar>
          </w:tcPr>
          <w:p w14:paraId="3E19F428" w14:textId="77777777" w:rsidR="00DD20ED" w:rsidRDefault="00000000">
            <w:r>
              <w:rPr>
                <w:rFonts w:ascii="Calibri" w:hAnsi="Calibri"/>
                <w:sz w:val="18"/>
              </w:rPr>
              <w:t>Routed through a domestic ministry or agency</w:t>
            </w:r>
          </w:p>
        </w:tc>
        <w:tc>
          <w:tcPr>
            <w:tcW w:w="2387" w:type="dxa"/>
            <w:shd w:val="clear" w:color="auto" w:fill="FFF2CC"/>
            <w:tcMar>
              <w:top w:w="80" w:type="dxa"/>
              <w:left w:w="120" w:type="dxa"/>
              <w:bottom w:w="80" w:type="dxa"/>
              <w:right w:w="120" w:type="dxa"/>
            </w:tcMar>
          </w:tcPr>
          <w:p w14:paraId="04B87E79" w14:textId="77777777" w:rsidR="00DD20ED" w:rsidRDefault="00000000">
            <w:r>
              <w:rPr>
                <w:rFonts w:ascii="Calibri" w:hAnsi="Calibri"/>
                <w:sz w:val="18"/>
              </w:rPr>
              <w:t>Some FX or conversion risk in the payment path</w:t>
            </w:r>
          </w:p>
        </w:tc>
        <w:tc>
          <w:tcPr>
            <w:tcW w:w="2386" w:type="dxa"/>
            <w:shd w:val="clear" w:color="auto" w:fill="E2EFDA"/>
            <w:tcMar>
              <w:top w:w="80" w:type="dxa"/>
              <w:left w:w="120" w:type="dxa"/>
              <w:bottom w:w="80" w:type="dxa"/>
              <w:right w:w="120" w:type="dxa"/>
            </w:tcMar>
          </w:tcPr>
          <w:p w14:paraId="34D89690" w14:textId="77777777" w:rsidR="00DD20ED" w:rsidRDefault="00000000">
            <w:r>
              <w:rPr>
                <w:rFonts w:ascii="Calibri" w:hAnsi="Calibri"/>
                <w:sz w:val="18"/>
              </w:rPr>
              <w:t>Direct to bondholder/trustee, or a pre-funded escrow</w:t>
            </w:r>
          </w:p>
        </w:tc>
      </w:tr>
      <w:tr w:rsidR="00DD20ED" w14:paraId="47AA9C0C" w14:textId="77777777">
        <w:trPr>
          <w:cantSplit/>
        </w:trPr>
        <w:tc>
          <w:tcPr>
            <w:tcW w:w="2200" w:type="dxa"/>
            <w:tcMar>
              <w:top w:w="80" w:type="dxa"/>
              <w:left w:w="120" w:type="dxa"/>
              <w:bottom w:w="80" w:type="dxa"/>
              <w:right w:w="120" w:type="dxa"/>
            </w:tcMar>
          </w:tcPr>
          <w:p w14:paraId="6197A722" w14:textId="77777777" w:rsidR="00DD20ED" w:rsidRDefault="00000000">
            <w:r>
              <w:rPr>
                <w:rFonts w:ascii="Calibri" w:hAnsi="Calibri"/>
                <w:b/>
                <w:sz w:val="18"/>
              </w:rPr>
              <w:t>6. Guarantor identity &amp; quality</w:t>
            </w:r>
          </w:p>
        </w:tc>
        <w:tc>
          <w:tcPr>
            <w:tcW w:w="2387" w:type="dxa"/>
            <w:shd w:val="clear" w:color="auto" w:fill="FCE4E4"/>
            <w:tcMar>
              <w:top w:w="80" w:type="dxa"/>
              <w:left w:w="120" w:type="dxa"/>
              <w:bottom w:w="80" w:type="dxa"/>
              <w:right w:w="120" w:type="dxa"/>
            </w:tcMar>
          </w:tcPr>
          <w:p w14:paraId="11F39F97" w14:textId="77777777" w:rsidR="00DD20ED" w:rsidRDefault="00000000">
            <w:r>
              <w:rPr>
                <w:rFonts w:ascii="Calibri" w:hAnsi="Calibri"/>
                <w:sz w:val="18"/>
              </w:rPr>
              <w:t>No genuinely independent external guarantor</w:t>
            </w:r>
          </w:p>
        </w:tc>
        <w:tc>
          <w:tcPr>
            <w:tcW w:w="2387" w:type="dxa"/>
            <w:shd w:val="clear" w:color="auto" w:fill="FFF2CC"/>
            <w:tcMar>
              <w:top w:w="80" w:type="dxa"/>
              <w:left w:w="120" w:type="dxa"/>
              <w:bottom w:w="80" w:type="dxa"/>
              <w:right w:w="120" w:type="dxa"/>
            </w:tcMar>
          </w:tcPr>
          <w:p w14:paraId="4A3E2E55" w14:textId="77777777" w:rsidR="00DD20ED" w:rsidRDefault="00000000">
            <w:r>
              <w:rPr>
                <w:rFonts w:ascii="Calibri" w:hAnsi="Calibri"/>
                <w:sz w:val="18"/>
              </w:rPr>
              <w:t>Independent, but rated below AA</w:t>
            </w:r>
          </w:p>
        </w:tc>
        <w:tc>
          <w:tcPr>
            <w:tcW w:w="2386" w:type="dxa"/>
            <w:shd w:val="clear" w:color="auto" w:fill="E2EFDA"/>
            <w:tcMar>
              <w:top w:w="80" w:type="dxa"/>
              <w:left w:w="120" w:type="dxa"/>
              <w:bottom w:w="80" w:type="dxa"/>
              <w:right w:w="120" w:type="dxa"/>
            </w:tcMar>
          </w:tcPr>
          <w:p w14:paraId="4E8461D9" w14:textId="77777777" w:rsidR="00DD20ED" w:rsidRDefault="00000000">
            <w:r>
              <w:rPr>
                <w:rFonts w:ascii="Calibri" w:hAnsi="Calibri"/>
                <w:sz w:val="18"/>
              </w:rPr>
              <w:t>AA+ or better, ideally multilateral with preferred creditor status</w:t>
            </w:r>
          </w:p>
        </w:tc>
      </w:tr>
      <w:tr w:rsidR="00DD20ED" w14:paraId="6587B1C5" w14:textId="77777777">
        <w:trPr>
          <w:cantSplit/>
        </w:trPr>
        <w:tc>
          <w:tcPr>
            <w:tcW w:w="2200" w:type="dxa"/>
            <w:tcMar>
              <w:top w:w="80" w:type="dxa"/>
              <w:left w:w="120" w:type="dxa"/>
              <w:bottom w:w="80" w:type="dxa"/>
              <w:right w:w="120" w:type="dxa"/>
            </w:tcMar>
          </w:tcPr>
          <w:p w14:paraId="77314682" w14:textId="77777777" w:rsidR="00DD20ED" w:rsidRDefault="00000000">
            <w:r>
              <w:rPr>
                <w:rFonts w:ascii="Calibri" w:hAnsi="Calibri"/>
                <w:b/>
                <w:sz w:val="18"/>
              </w:rPr>
              <w:t>7. Rating agency treatment</w:t>
            </w:r>
          </w:p>
        </w:tc>
        <w:tc>
          <w:tcPr>
            <w:tcW w:w="2387" w:type="dxa"/>
            <w:shd w:val="clear" w:color="auto" w:fill="FCE4E4"/>
            <w:tcMar>
              <w:top w:w="80" w:type="dxa"/>
              <w:left w:w="120" w:type="dxa"/>
              <w:bottom w:w="80" w:type="dxa"/>
              <w:right w:w="120" w:type="dxa"/>
            </w:tcMar>
          </w:tcPr>
          <w:p w14:paraId="386AD460" w14:textId="77777777" w:rsidR="00DD20ED" w:rsidRDefault="00000000">
            <w:r>
              <w:rPr>
                <w:rFonts w:ascii="Calibri" w:hAnsi="Calibri"/>
                <w:sz w:val="18"/>
              </w:rPr>
              <w:t>No separate rating action from the issuer</w:t>
            </w:r>
          </w:p>
        </w:tc>
        <w:tc>
          <w:tcPr>
            <w:tcW w:w="2387" w:type="dxa"/>
            <w:shd w:val="clear" w:color="auto" w:fill="FFF2CC"/>
            <w:tcMar>
              <w:top w:w="80" w:type="dxa"/>
              <w:left w:w="120" w:type="dxa"/>
              <w:bottom w:w="80" w:type="dxa"/>
              <w:right w:w="120" w:type="dxa"/>
            </w:tcMar>
          </w:tcPr>
          <w:p w14:paraId="756236F8" w14:textId="77777777" w:rsidR="00DD20ED" w:rsidRDefault="00000000">
            <w:r>
              <w:rPr>
                <w:rFonts w:ascii="Calibri" w:hAnsi="Calibri"/>
                <w:sz w:val="18"/>
              </w:rPr>
              <w:t>Rated separately, but uplift rationale not clearly disclosed</w:t>
            </w:r>
          </w:p>
        </w:tc>
        <w:tc>
          <w:tcPr>
            <w:tcW w:w="2386" w:type="dxa"/>
            <w:shd w:val="clear" w:color="auto" w:fill="E2EFDA"/>
            <w:tcMar>
              <w:top w:w="80" w:type="dxa"/>
              <w:left w:w="120" w:type="dxa"/>
              <w:bottom w:w="80" w:type="dxa"/>
              <w:right w:w="120" w:type="dxa"/>
            </w:tcMar>
          </w:tcPr>
          <w:p w14:paraId="53E3CEF7" w14:textId="77777777" w:rsidR="00DD20ED" w:rsidRDefault="00000000">
            <w:r>
              <w:rPr>
                <w:rFonts w:ascii="Calibri" w:hAnsi="Calibri"/>
                <w:sz w:val="18"/>
              </w:rPr>
              <w:t>Rated separately with explicit, quantified PD/LGD uplift</w:t>
            </w:r>
          </w:p>
        </w:tc>
      </w:tr>
      <w:tr w:rsidR="00DD20ED" w14:paraId="5982256A" w14:textId="77777777">
        <w:trPr>
          <w:cantSplit/>
        </w:trPr>
        <w:tc>
          <w:tcPr>
            <w:tcW w:w="2200" w:type="dxa"/>
            <w:tcMar>
              <w:top w:w="80" w:type="dxa"/>
              <w:left w:w="120" w:type="dxa"/>
              <w:bottom w:w="80" w:type="dxa"/>
              <w:right w:w="120" w:type="dxa"/>
            </w:tcMar>
          </w:tcPr>
          <w:p w14:paraId="21BBBCD1" w14:textId="77777777" w:rsidR="00DD20ED" w:rsidRDefault="00000000">
            <w:r>
              <w:rPr>
                <w:rFonts w:ascii="Calibri" w:hAnsi="Calibri"/>
                <w:b/>
                <w:sz w:val="18"/>
              </w:rPr>
              <w:t>8. Ranking &amp; documentation</w:t>
            </w:r>
          </w:p>
        </w:tc>
        <w:tc>
          <w:tcPr>
            <w:tcW w:w="2387" w:type="dxa"/>
            <w:shd w:val="clear" w:color="auto" w:fill="FCE4E4"/>
            <w:tcMar>
              <w:top w:w="80" w:type="dxa"/>
              <w:left w:w="120" w:type="dxa"/>
              <w:bottom w:w="80" w:type="dxa"/>
              <w:right w:w="120" w:type="dxa"/>
            </w:tcMar>
          </w:tcPr>
          <w:p w14:paraId="3A476722" w14:textId="77777777" w:rsidR="00DD20ED" w:rsidRDefault="00000000">
            <w:r>
              <w:rPr>
                <w:rFonts w:ascii="Calibri" w:hAnsi="Calibri"/>
                <w:sz w:val="18"/>
              </w:rPr>
              <w:t>Documentation not public; ranking unclear</w:t>
            </w:r>
          </w:p>
        </w:tc>
        <w:tc>
          <w:tcPr>
            <w:tcW w:w="2387" w:type="dxa"/>
            <w:shd w:val="clear" w:color="auto" w:fill="FFF2CC"/>
            <w:tcMar>
              <w:top w:w="80" w:type="dxa"/>
              <w:left w:w="120" w:type="dxa"/>
              <w:bottom w:w="80" w:type="dxa"/>
              <w:right w:w="120" w:type="dxa"/>
            </w:tcMar>
          </w:tcPr>
          <w:p w14:paraId="604C4895" w14:textId="77777777" w:rsidR="00DD20ED" w:rsidRDefault="00000000">
            <w:r>
              <w:rPr>
                <w:rFonts w:ascii="Calibri" w:hAnsi="Calibri"/>
                <w:sz w:val="18"/>
              </w:rPr>
              <w:t>Partial disclosure via rating agency commentary only</w:t>
            </w:r>
          </w:p>
        </w:tc>
        <w:tc>
          <w:tcPr>
            <w:tcW w:w="2386" w:type="dxa"/>
            <w:shd w:val="clear" w:color="auto" w:fill="E2EFDA"/>
            <w:tcMar>
              <w:top w:w="80" w:type="dxa"/>
              <w:left w:w="120" w:type="dxa"/>
              <w:bottom w:w="80" w:type="dxa"/>
              <w:right w:w="120" w:type="dxa"/>
            </w:tcMar>
          </w:tcPr>
          <w:p w14:paraId="69897609" w14:textId="77777777" w:rsidR="00DD20ED" w:rsidRDefault="00000000">
            <w:r>
              <w:rPr>
                <w:rFonts w:ascii="Calibri" w:hAnsi="Calibri"/>
                <w:sz w:val="18"/>
              </w:rPr>
              <w:t>Fully public; explicit pari passu / preferred ranking language</w:t>
            </w:r>
          </w:p>
        </w:tc>
      </w:tr>
      <w:tr w:rsidR="00DD20ED" w14:paraId="209F2F93" w14:textId="77777777">
        <w:trPr>
          <w:cantSplit/>
        </w:trPr>
        <w:tc>
          <w:tcPr>
            <w:tcW w:w="2200" w:type="dxa"/>
            <w:tcMar>
              <w:top w:w="80" w:type="dxa"/>
              <w:left w:w="120" w:type="dxa"/>
              <w:bottom w:w="80" w:type="dxa"/>
              <w:right w:w="120" w:type="dxa"/>
            </w:tcMar>
          </w:tcPr>
          <w:p w14:paraId="70E22DCB" w14:textId="77777777" w:rsidR="00DD20ED" w:rsidRDefault="00000000">
            <w:r>
              <w:rPr>
                <w:rFonts w:ascii="Calibri" w:hAnsi="Calibri"/>
                <w:b/>
                <w:sz w:val="18"/>
              </w:rPr>
              <w:lastRenderedPageBreak/>
              <w:t>9. Restructuring treatment</w:t>
            </w:r>
          </w:p>
        </w:tc>
        <w:tc>
          <w:tcPr>
            <w:tcW w:w="2387" w:type="dxa"/>
            <w:shd w:val="clear" w:color="auto" w:fill="FCE4E4"/>
            <w:tcMar>
              <w:top w:w="80" w:type="dxa"/>
              <w:left w:w="120" w:type="dxa"/>
              <w:bottom w:w="80" w:type="dxa"/>
              <w:right w:w="120" w:type="dxa"/>
            </w:tcMar>
          </w:tcPr>
          <w:p w14:paraId="3003C03B" w14:textId="77777777" w:rsidR="00DD20ED" w:rsidRDefault="00000000">
            <w:r>
              <w:rPr>
                <w:rFonts w:ascii="Calibri" w:hAnsi="Calibri"/>
                <w:sz w:val="18"/>
              </w:rPr>
              <w:t>No carve-out language; precedent suggests inclusion in perimeter</w:t>
            </w:r>
          </w:p>
        </w:tc>
        <w:tc>
          <w:tcPr>
            <w:tcW w:w="2387" w:type="dxa"/>
            <w:shd w:val="clear" w:color="auto" w:fill="FFF2CC"/>
            <w:tcMar>
              <w:top w:w="80" w:type="dxa"/>
              <w:left w:w="120" w:type="dxa"/>
              <w:bottom w:w="80" w:type="dxa"/>
              <w:right w:w="120" w:type="dxa"/>
            </w:tcMar>
          </w:tcPr>
          <w:p w14:paraId="1AF25819" w14:textId="77777777" w:rsidR="00DD20ED" w:rsidRDefault="00000000">
            <w:r>
              <w:rPr>
                <w:rFonts w:ascii="Calibri" w:hAnsi="Calibri"/>
                <w:sz w:val="18"/>
              </w:rPr>
              <w:t>Untested, no clear DSA or programme treatment either way</w:t>
            </w:r>
          </w:p>
        </w:tc>
        <w:tc>
          <w:tcPr>
            <w:tcW w:w="2386" w:type="dxa"/>
            <w:shd w:val="clear" w:color="auto" w:fill="E2EFDA"/>
            <w:tcMar>
              <w:top w:w="80" w:type="dxa"/>
              <w:left w:w="120" w:type="dxa"/>
              <w:bottom w:w="80" w:type="dxa"/>
              <w:right w:w="120" w:type="dxa"/>
            </w:tcMar>
          </w:tcPr>
          <w:p w14:paraId="5E2A878E" w14:textId="77777777" w:rsidR="00DD20ED" w:rsidRDefault="00000000">
            <w:r>
              <w:rPr>
                <w:rFonts w:ascii="Calibri" w:hAnsi="Calibri"/>
                <w:sz w:val="18"/>
              </w:rPr>
              <w:t>Explicit carve-out, and/or DSA-confirmed treatment</w:t>
            </w:r>
          </w:p>
        </w:tc>
      </w:tr>
    </w:tbl>
    <w:p w14:paraId="15F0DDD7" w14:textId="77777777" w:rsidR="00A73BBA" w:rsidRDefault="00000000">
      <w:pPr>
        <w:spacing w:before="160" w:after="200" w:line="276" w:lineRule="auto"/>
      </w:pPr>
      <w:r>
        <w:rPr>
          <w:rFonts w:ascii="Calibri" w:eastAsia="Calibri" w:hAnsi="Calibri" w:cs="Calibri"/>
          <w:i/>
          <w:iCs/>
          <w:color w:val="555555"/>
        </w:rPr>
        <w:t>Remember factors 1–3 gate the tier before factors 4, 6, and 7 can lift it, per the aggregation rule set out later in this document.</w:t>
      </w:r>
    </w:p>
    <w:p w14:paraId="547B46DD" w14:textId="77777777" w:rsidR="00A73BBA" w:rsidRDefault="00000000">
      <w:pPr>
        <w:spacing w:after="120" w:line="276" w:lineRule="auto"/>
      </w:pPr>
      <w:r>
        <w:rPr>
          <w:rFonts w:ascii="Calibri" w:eastAsia="Calibri" w:hAnsi="Calibri" w:cs="Calibri"/>
          <w:b/>
          <w:bCs/>
          <w:i/>
          <w:iCs/>
          <w:color w:val="B22222"/>
          <w:sz w:val="22"/>
          <w:szCs w:val="22"/>
        </w:rPr>
        <w:t xml:space="preserve">Poor – Egypt example (historical): </w:t>
      </w:r>
      <w:r>
        <w:rPr>
          <w:rFonts w:ascii="Calibri" w:eastAsia="Calibri" w:hAnsi="Calibri" w:cs="Calibri"/>
          <w:i/>
          <w:iCs/>
          <w:sz w:val="22"/>
          <w:szCs w:val="22"/>
        </w:rPr>
        <w:t>EGPC’s arrears to international oil companies, which peaked near $6.1–6.2bn in mid-2024, illustrate implicit backing failing to translate into enforceable protection under stress – there was no bond structure or guarantee instrument giving creditors direct recourse to the sovereign, only diplomatic and investment-climate pressure. Egypt’s Ministry of Petroleum announced these arrears fully cleared as of 10 June 2026, so this is now a resolved case rather than a live exposure, but the mechanics remain the clearest real-world illustration of this tier.</w:t>
      </w:r>
    </w:p>
    <w:p w14:paraId="185A6A3F" w14:textId="77777777" w:rsidR="00A73BBA" w:rsidRDefault="00000000">
      <w:pPr>
        <w:spacing w:after="120" w:line="276" w:lineRule="auto"/>
      </w:pPr>
      <w:r>
        <w:rPr>
          <w:rFonts w:ascii="Calibri" w:eastAsia="Calibri" w:hAnsi="Calibri" w:cs="Calibri"/>
          <w:b/>
          <w:bCs/>
          <w:i/>
          <w:iCs/>
          <w:color w:val="B7791F"/>
          <w:sz w:val="22"/>
          <w:szCs w:val="22"/>
        </w:rPr>
        <w:t xml:space="preserve">Moderate – no clean example: </w:t>
      </w:r>
      <w:r>
        <w:rPr>
          <w:rFonts w:ascii="Calibri" w:eastAsia="Calibri" w:hAnsi="Calibri" w:cs="Calibri"/>
          <w:i/>
          <w:iCs/>
          <w:sz w:val="22"/>
          <w:szCs w:val="22"/>
        </w:rPr>
        <w:t>most Egyptian foreign-currency SOE issuance sits at either the poor end (no explicit guarantee) or the strong end (fully structured multilateral PCG); there isn’t a well-documented public case sitting squarely in the middle. A locally-governed guarantee with a payment-of-collection standard would illustrate this tier, but no real Egyptian instrument fits cleanly enough to name.</w:t>
      </w:r>
    </w:p>
    <w:p w14:paraId="5FAAC42F" w14:textId="77777777" w:rsidR="00A73BBA" w:rsidRDefault="00000000">
      <w:pPr>
        <w:spacing w:after="200" w:line="276" w:lineRule="auto"/>
      </w:pPr>
      <w:r>
        <w:rPr>
          <w:rFonts w:ascii="Calibri" w:eastAsia="Calibri" w:hAnsi="Calibri" w:cs="Calibri"/>
          <w:b/>
          <w:bCs/>
          <w:i/>
          <w:iCs/>
          <w:color w:val="2E7D32"/>
          <w:sz w:val="22"/>
          <w:szCs w:val="22"/>
        </w:rPr>
        <w:t xml:space="preserve">Strong – Egypt example: </w:t>
      </w:r>
      <w:r>
        <w:rPr>
          <w:rFonts w:ascii="Calibri" w:eastAsia="Calibri" w:hAnsi="Calibri" w:cs="Calibri"/>
          <w:i/>
          <w:iCs/>
          <w:sz w:val="22"/>
          <w:szCs w:val="22"/>
        </w:rPr>
        <w:t>the AfDB-backed sustainability samurai bond carries an explicit partial credit guarantee from a AAA-rated multilateral, a foreign-governed structure, and a direct payment mechanism, resulting in AA+/AA tranche ratings – strong mechanics, though only partial substitution given the guarantee’s scope (see the caveat at the end of the “Applying the scale” section).</w:t>
      </w:r>
    </w:p>
    <w:p w14:paraId="35351BFC" w14:textId="77777777" w:rsidR="00A73BBA" w:rsidRDefault="00000000">
      <w:pPr>
        <w:pStyle w:val="Heading1"/>
        <w:spacing w:before="360" w:after="160"/>
      </w:pPr>
      <w:r>
        <w:rPr>
          <w:rFonts w:ascii="Calibri" w:eastAsia="Calibri" w:hAnsi="Calibri" w:cs="Calibri"/>
          <w:b/>
          <w:bCs/>
          <w:color w:val="1F3864"/>
          <w:sz w:val="26"/>
          <w:szCs w:val="26"/>
        </w:rPr>
        <w:t>The checklist: what determines guarantee quality</w:t>
      </w:r>
    </w:p>
    <w:p w14:paraId="517F7560" w14:textId="77777777" w:rsidR="00A73BBA" w:rsidRDefault="00000000">
      <w:pPr>
        <w:spacing w:after="200" w:line="276" w:lineRule="auto"/>
      </w:pPr>
      <w:r>
        <w:rPr>
          <w:rFonts w:ascii="Calibri" w:eastAsia="Calibri" w:hAnsi="Calibri" w:cs="Calibri"/>
          <w:sz w:val="22"/>
          <w:szCs w:val="22"/>
        </w:rPr>
        <w:t>A rating or a headline “government guaranteed” label tells you almost nothing on its own. The questions below are what actually determine whether a guarantee transfers meaningful credit protection to a bondholder, or just repackages the same risk with a reassuring label attached.</w:t>
      </w:r>
    </w:p>
    <w:p w14:paraId="21C6D41F" w14:textId="77777777" w:rsidR="00A73BBA" w:rsidRDefault="00000000">
      <w:pPr>
        <w:pStyle w:val="Heading2"/>
        <w:spacing w:before="260" w:after="120"/>
      </w:pPr>
      <w:r>
        <w:rPr>
          <w:rFonts w:ascii="Calibri" w:eastAsia="Calibri" w:hAnsi="Calibri" w:cs="Calibri"/>
          <w:b/>
          <w:bCs/>
          <w:color w:val="2E5395"/>
          <w:sz w:val="24"/>
          <w:szCs w:val="24"/>
        </w:rPr>
        <w:t>1. Explicit vs implicit guarantee</w:t>
      </w:r>
    </w:p>
    <w:p w14:paraId="63C4607B" w14:textId="77777777" w:rsidR="00A73BBA" w:rsidRDefault="00000000">
      <w:pPr>
        <w:spacing w:after="120"/>
      </w:pPr>
      <w:r>
        <w:rPr>
          <w:rFonts w:ascii="Calibri" w:eastAsia="Calibri" w:hAnsi="Calibri" w:cs="Calibri"/>
          <w:b/>
          <w:bCs/>
          <w:sz w:val="22"/>
          <w:szCs w:val="22"/>
        </w:rPr>
        <w:t>What to check</w:t>
      </w:r>
    </w:p>
    <w:p w14:paraId="7FB649DD" w14:textId="77777777" w:rsidR="00A73BBA" w:rsidRDefault="00000000">
      <w:pPr>
        <w:pStyle w:val="ListParagraph"/>
        <w:numPr>
          <w:ilvl w:val="0"/>
          <w:numId w:val="2"/>
        </w:numPr>
        <w:spacing w:after="100" w:line="276" w:lineRule="auto"/>
      </w:pPr>
      <w:r>
        <w:rPr>
          <w:rFonts w:ascii="Calibri" w:eastAsia="Calibri" w:hAnsi="Calibri" w:cs="Calibri"/>
          <w:sz w:val="22"/>
          <w:szCs w:val="22"/>
        </w:rPr>
        <w:t>Is there a signed, legally binding guarantee instrument attached to this specific bond, or is “government backing” inferred from state ownership, historical bailout precedent, or political rhetoric?</w:t>
      </w:r>
    </w:p>
    <w:p w14:paraId="0F3C94CE" w14:textId="77777777" w:rsidR="00A73BBA" w:rsidRDefault="00000000">
      <w:pPr>
        <w:pStyle w:val="ListParagraph"/>
        <w:numPr>
          <w:ilvl w:val="0"/>
          <w:numId w:val="2"/>
        </w:numPr>
        <w:spacing w:after="100" w:line="276" w:lineRule="auto"/>
      </w:pPr>
      <w:r>
        <w:rPr>
          <w:rFonts w:ascii="Calibri" w:eastAsia="Calibri" w:hAnsi="Calibri" w:cs="Calibri"/>
          <w:sz w:val="22"/>
          <w:szCs w:val="22"/>
        </w:rPr>
        <w:t>If explicit: is it a standalone guarantee agreement, or a clause embedded within the bond’s own terms and conditions? Standalone instruments are generally cleaner and more enforceable.</w:t>
      </w:r>
    </w:p>
    <w:p w14:paraId="22255D82" w14:textId="77777777" w:rsidR="00A73BBA" w:rsidRDefault="00000000">
      <w:pPr>
        <w:pStyle w:val="ListParagraph"/>
        <w:numPr>
          <w:ilvl w:val="0"/>
          <w:numId w:val="2"/>
        </w:numPr>
        <w:spacing w:after="100" w:line="276" w:lineRule="auto"/>
      </w:pPr>
      <w:r>
        <w:rPr>
          <w:rFonts w:ascii="Calibri" w:eastAsia="Calibri" w:hAnsi="Calibri" w:cs="Calibri"/>
          <w:sz w:val="22"/>
          <w:szCs w:val="22"/>
        </w:rPr>
        <w:t>If implicit: what is the entity’s actual track record of extraordinary government support? Has the government intervened before for this issuer, or for comparable state-owned entities in the same sector?</w:t>
      </w:r>
    </w:p>
    <w:p w14:paraId="0E810053" w14:textId="77777777" w:rsidR="00A73BBA" w:rsidRDefault="00000000">
      <w:pPr>
        <w:pStyle w:val="ListParagraph"/>
        <w:numPr>
          <w:ilvl w:val="0"/>
          <w:numId w:val="2"/>
        </w:numPr>
        <w:spacing w:after="100" w:line="276" w:lineRule="auto"/>
      </w:pPr>
      <w:r>
        <w:rPr>
          <w:rFonts w:ascii="Calibri" w:eastAsia="Calibri" w:hAnsi="Calibri" w:cs="Calibri"/>
          <w:sz w:val="22"/>
          <w:szCs w:val="22"/>
        </w:rPr>
        <w:lastRenderedPageBreak/>
        <w:t>Watch for comfort letters: a soft, non-binding middle ground some governments issue that reads like support but creates no enforceable payment obligation. These get mistaken for real guarantees constantly.</w:t>
      </w:r>
    </w:p>
    <w:p w14:paraId="05F61732"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Implicit support is a political expectation, not a legal claim. It can evaporate exactly when it’s needed most, in a genuine fiscal crisis, when the government has the least capacity and the least incentive to make good on an obligation it never formally signed.</w:t>
      </w:r>
    </w:p>
    <w:p w14:paraId="4CE47EA1" w14:textId="77777777" w:rsidR="00A73BBA" w:rsidRDefault="00000000">
      <w:pPr>
        <w:spacing w:after="200" w:line="276" w:lineRule="auto"/>
      </w:pPr>
      <w:r>
        <w:rPr>
          <w:rFonts w:ascii="Calibri" w:eastAsia="Calibri" w:hAnsi="Calibri" w:cs="Calibri"/>
          <w:b/>
          <w:bCs/>
          <w:i/>
          <w:iCs/>
          <w:sz w:val="22"/>
          <w:szCs w:val="22"/>
        </w:rPr>
        <w:t xml:space="preserve">Egypt example (poor tier): </w:t>
      </w:r>
      <w:r>
        <w:rPr>
          <w:rFonts w:ascii="Calibri" w:eastAsia="Calibri" w:hAnsi="Calibri" w:cs="Calibri"/>
          <w:i/>
          <w:iCs/>
          <w:sz w:val="22"/>
          <w:szCs w:val="22"/>
        </w:rPr>
        <w:t>Egyptian General Petroleum Corporation’s (EGPC) arrears to international oil companies, which peaked near $6.1–6.2bn in mid-2024 and were fully cleared by the Ministry of Petroleum as of 10 June 2026, illustrate implicit backing failing to translate into enforceable protection while the arrears stood. There was no bond structure or formal guarantee instrument here, but it remains the cleanest real-world case of state ownership being assumed to imply support, with no contractual claim giving creditors direct recourse to the sovereign when payment discipline slipped – resolution came through a coordinated government repayment effort, not through any enforceable guarantee.</w:t>
      </w:r>
    </w:p>
    <w:p w14:paraId="74DAB96E" w14:textId="77777777" w:rsidR="00A73BBA" w:rsidRDefault="00000000">
      <w:pPr>
        <w:pStyle w:val="Heading2"/>
        <w:spacing w:before="260" w:after="120"/>
      </w:pPr>
      <w:r>
        <w:rPr>
          <w:rFonts w:ascii="Calibri" w:eastAsia="Calibri" w:hAnsi="Calibri" w:cs="Calibri"/>
          <w:b/>
          <w:bCs/>
          <w:color w:val="2E5395"/>
          <w:sz w:val="24"/>
          <w:szCs w:val="24"/>
        </w:rPr>
        <w:t>2. Governing law</w:t>
      </w:r>
    </w:p>
    <w:p w14:paraId="0608B417" w14:textId="77777777" w:rsidR="00A73BBA" w:rsidRDefault="00000000">
      <w:pPr>
        <w:spacing w:after="120"/>
      </w:pPr>
      <w:r>
        <w:rPr>
          <w:rFonts w:ascii="Calibri" w:eastAsia="Calibri" w:hAnsi="Calibri" w:cs="Calibri"/>
          <w:b/>
          <w:bCs/>
          <w:sz w:val="22"/>
          <w:szCs w:val="22"/>
        </w:rPr>
        <w:t>What to check</w:t>
      </w:r>
    </w:p>
    <w:p w14:paraId="16F184E4" w14:textId="77777777" w:rsidR="00A73BBA" w:rsidRDefault="00000000">
      <w:pPr>
        <w:pStyle w:val="ListParagraph"/>
        <w:numPr>
          <w:ilvl w:val="0"/>
          <w:numId w:val="2"/>
        </w:numPr>
        <w:spacing w:after="100" w:line="276" w:lineRule="auto"/>
      </w:pPr>
      <w:r>
        <w:rPr>
          <w:rFonts w:ascii="Calibri" w:eastAsia="Calibri" w:hAnsi="Calibri" w:cs="Calibri"/>
          <w:sz w:val="22"/>
          <w:szCs w:val="22"/>
        </w:rPr>
        <w:t>Local law vs foreign law (typically English or New York law).</w:t>
      </w:r>
    </w:p>
    <w:p w14:paraId="4A83CA96" w14:textId="77777777" w:rsidR="00A73BBA" w:rsidRDefault="00000000">
      <w:pPr>
        <w:pStyle w:val="ListParagraph"/>
        <w:numPr>
          <w:ilvl w:val="0"/>
          <w:numId w:val="2"/>
        </w:numPr>
        <w:spacing w:after="100" w:line="276" w:lineRule="auto"/>
      </w:pPr>
      <w:r>
        <w:rPr>
          <w:rFonts w:ascii="Calibri" w:eastAsia="Calibri" w:hAnsi="Calibri" w:cs="Calibri"/>
          <w:sz w:val="22"/>
          <w:szCs w:val="22"/>
        </w:rPr>
        <w:t>Under local law, the guarantor government can legislate around its own obligations: restructuring laws, payment moratoria, or capital controls can be passed unilaterally and applied retroactively to domestically governed instruments. The guarantor is also the legislator.</w:t>
      </w:r>
    </w:p>
    <w:p w14:paraId="3CFFB954" w14:textId="77777777" w:rsidR="00A73BBA" w:rsidRDefault="00000000">
      <w:pPr>
        <w:pStyle w:val="ListParagraph"/>
        <w:numPr>
          <w:ilvl w:val="0"/>
          <w:numId w:val="2"/>
        </w:numPr>
        <w:spacing w:after="100" w:line="276" w:lineRule="auto"/>
      </w:pPr>
      <w:r>
        <w:rPr>
          <w:rFonts w:ascii="Calibri" w:eastAsia="Calibri" w:hAnsi="Calibri" w:cs="Calibri"/>
          <w:sz w:val="22"/>
          <w:szCs w:val="22"/>
        </w:rPr>
        <w:t>Under foreign law, the government has contractually submitted to an external legal system it cannot unilaterally rewrite. Disputes are resolved in foreign courts or through arbitration (LCIA, ICC, ICSID), not domestic courts that are ultimately arms of the same government being sued.</w:t>
      </w:r>
    </w:p>
    <w:p w14:paraId="3975A761" w14:textId="77777777" w:rsidR="00A73BBA" w:rsidRDefault="00000000">
      <w:pPr>
        <w:pStyle w:val="ListParagraph"/>
        <w:numPr>
          <w:ilvl w:val="0"/>
          <w:numId w:val="2"/>
        </w:numPr>
        <w:spacing w:after="100" w:line="276" w:lineRule="auto"/>
      </w:pPr>
      <w:r>
        <w:rPr>
          <w:rFonts w:ascii="Calibri" w:eastAsia="Calibri" w:hAnsi="Calibri" w:cs="Calibri"/>
          <w:sz w:val="22"/>
          <w:szCs w:val="22"/>
        </w:rPr>
        <w:t>Identify the specific jurisdiction and dispute resolution mechanism named in the documentation. English law with London arbitration is materially stronger than English law with a domestic-court enforcement fallback.</w:t>
      </w:r>
    </w:p>
    <w:p w14:paraId="71A3023C" w14:textId="77777777" w:rsidR="00A73BBA" w:rsidRDefault="00000000">
      <w:pPr>
        <w:spacing w:after="120"/>
      </w:pPr>
      <w:r>
        <w:rPr>
          <w:rFonts w:ascii="Calibri" w:eastAsia="Calibri" w:hAnsi="Calibri" w:cs="Calibri"/>
          <w:b/>
          <w:bCs/>
          <w:sz w:val="22"/>
          <w:szCs w:val="22"/>
        </w:rPr>
        <w:t>Guarantee of payment vs guarantee of collection: a critical sub-distinction inside governing law</w:t>
      </w:r>
    </w:p>
    <w:p w14:paraId="1599BB60" w14:textId="77777777" w:rsidR="00A73BBA" w:rsidRDefault="00000000">
      <w:pPr>
        <w:pStyle w:val="ListParagraph"/>
        <w:numPr>
          <w:ilvl w:val="0"/>
          <w:numId w:val="2"/>
        </w:numPr>
        <w:spacing w:after="100" w:line="276" w:lineRule="auto"/>
      </w:pPr>
      <w:r>
        <w:rPr>
          <w:rFonts w:ascii="Calibri" w:eastAsia="Calibri" w:hAnsi="Calibri" w:cs="Calibri"/>
          <w:sz w:val="22"/>
          <w:szCs w:val="22"/>
        </w:rPr>
        <w:t>Guarantee of payment: the creditor can call on the guarantor immediately upon issuer default, with no need to first pursue the issuer through legal process.</w:t>
      </w:r>
    </w:p>
    <w:p w14:paraId="45B603DA" w14:textId="77777777" w:rsidR="00A73BBA" w:rsidRDefault="00000000">
      <w:pPr>
        <w:pStyle w:val="ListParagraph"/>
        <w:numPr>
          <w:ilvl w:val="0"/>
          <w:numId w:val="2"/>
        </w:numPr>
        <w:spacing w:after="100" w:line="276" w:lineRule="auto"/>
      </w:pPr>
      <w:r>
        <w:rPr>
          <w:rFonts w:ascii="Calibri" w:eastAsia="Calibri" w:hAnsi="Calibri" w:cs="Calibri"/>
          <w:sz w:val="22"/>
          <w:szCs w:val="22"/>
        </w:rPr>
        <w:t>Guarantee of collection: the creditor must first exhaust remedies against the issuer (pursue default or insolvency proceedings) before the guarantor is obligated to pay.</w:t>
      </w:r>
    </w:p>
    <w:p w14:paraId="72BEA1F3" w14:textId="77777777" w:rsidR="00A73BBA" w:rsidRDefault="00000000">
      <w:pPr>
        <w:pStyle w:val="ListParagraph"/>
        <w:numPr>
          <w:ilvl w:val="0"/>
          <w:numId w:val="2"/>
        </w:numPr>
        <w:spacing w:after="100" w:line="276" w:lineRule="auto"/>
      </w:pPr>
      <w:r>
        <w:rPr>
          <w:rFonts w:ascii="Calibri" w:eastAsia="Calibri" w:hAnsi="Calibri" w:cs="Calibri"/>
          <w:sz w:val="22"/>
          <w:szCs w:val="22"/>
        </w:rPr>
        <w:t>Related: check whether the enforcement trigger is automatic on a defined event, or only available after litigation and a legal judgment has been obtained. An automatic trigger is materially faster and more reliable than one that requires the creditor to win a case first.</w:t>
      </w:r>
    </w:p>
    <w:p w14:paraId="1657ECBA" w14:textId="77777777" w:rsidR="00A73BBA" w:rsidRDefault="00000000">
      <w:pPr>
        <w:spacing w:after="200" w:line="276" w:lineRule="auto"/>
      </w:pPr>
      <w:r>
        <w:rPr>
          <w:rFonts w:ascii="Calibri" w:eastAsia="Calibri" w:hAnsi="Calibri" w:cs="Calibri"/>
          <w:sz w:val="22"/>
          <w:szCs w:val="22"/>
        </w:rPr>
        <w:t xml:space="preserve">A guarantee of collection can be explicit and foreign-law governed and still be a weak practical protection, because it delays and dilutes the claim exactly when speed matters most, in a liquidity crisis. </w:t>
      </w:r>
      <w:r>
        <w:rPr>
          <w:rFonts w:ascii="Calibri" w:eastAsia="Calibri" w:hAnsi="Calibri" w:cs="Calibri"/>
          <w:sz w:val="22"/>
          <w:szCs w:val="22"/>
        </w:rPr>
        <w:lastRenderedPageBreak/>
        <w:t>This single drafting choice is one of the most consequential, and most overlooked, details in the entire structure.</w:t>
      </w:r>
    </w:p>
    <w:p w14:paraId="46216261"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Local law does not make a guarantee worthless, but it means enforcement ultimately depends on the same government’s willingness to respect its own commitments under its own rules, with no external check.</w:t>
      </w:r>
    </w:p>
    <w:p w14:paraId="09C7EFAB" w14:textId="77777777" w:rsidR="00A73BBA" w:rsidRDefault="00000000">
      <w:pPr>
        <w:pStyle w:val="Heading2"/>
        <w:spacing w:before="260" w:after="120"/>
      </w:pPr>
      <w:r>
        <w:rPr>
          <w:rFonts w:ascii="Calibri" w:eastAsia="Calibri" w:hAnsi="Calibri" w:cs="Calibri"/>
          <w:b/>
          <w:bCs/>
          <w:color w:val="2E5395"/>
          <w:sz w:val="24"/>
          <w:szCs w:val="24"/>
        </w:rPr>
        <w:t>3. Immunity waiver</w:t>
      </w:r>
    </w:p>
    <w:p w14:paraId="56423116" w14:textId="77777777" w:rsidR="00A73BBA" w:rsidRDefault="00000000">
      <w:pPr>
        <w:spacing w:after="120"/>
      </w:pPr>
      <w:r>
        <w:rPr>
          <w:rFonts w:ascii="Calibri" w:eastAsia="Calibri" w:hAnsi="Calibri" w:cs="Calibri"/>
          <w:b/>
          <w:bCs/>
          <w:sz w:val="22"/>
          <w:szCs w:val="22"/>
        </w:rPr>
        <w:t>What to check</w:t>
      </w:r>
    </w:p>
    <w:p w14:paraId="4461FB26" w14:textId="77777777" w:rsidR="00A73BBA" w:rsidRDefault="00000000">
      <w:pPr>
        <w:pStyle w:val="ListParagraph"/>
        <w:numPr>
          <w:ilvl w:val="0"/>
          <w:numId w:val="2"/>
        </w:numPr>
        <w:spacing w:after="100" w:line="276" w:lineRule="auto"/>
      </w:pPr>
      <w:r>
        <w:rPr>
          <w:rFonts w:ascii="Calibri" w:eastAsia="Calibri" w:hAnsi="Calibri" w:cs="Calibri"/>
          <w:sz w:val="22"/>
          <w:szCs w:val="22"/>
        </w:rPr>
        <w:t>Is there a full waiver of sovereign immunity, both immunity from suit and immunity from execution or attachment of assets, or only a partial waiver (immunity from suit waived, but immunity from execution retained, meaning a creditor can sue but cannot actually seize anything)?</w:t>
      </w:r>
    </w:p>
    <w:p w14:paraId="7DECB8B1" w14:textId="77777777" w:rsidR="00A73BBA" w:rsidRDefault="00000000">
      <w:pPr>
        <w:pStyle w:val="ListParagraph"/>
        <w:numPr>
          <w:ilvl w:val="0"/>
          <w:numId w:val="2"/>
        </w:numPr>
        <w:spacing w:after="100" w:line="276" w:lineRule="auto"/>
      </w:pPr>
      <w:r>
        <w:rPr>
          <w:rFonts w:ascii="Calibri" w:eastAsia="Calibri" w:hAnsi="Calibri" w:cs="Calibri"/>
          <w:sz w:val="22"/>
          <w:szCs w:val="22"/>
        </w:rPr>
        <w:t>Does the waiver specifically cover commercial assets, or is it vague and general?</w:t>
      </w:r>
    </w:p>
    <w:p w14:paraId="7D7660F9" w14:textId="77777777" w:rsidR="00A73BBA" w:rsidRDefault="00000000">
      <w:pPr>
        <w:pStyle w:val="ListParagraph"/>
        <w:numPr>
          <w:ilvl w:val="0"/>
          <w:numId w:val="2"/>
        </w:numPr>
        <w:spacing w:after="100" w:line="276" w:lineRule="auto"/>
      </w:pPr>
      <w:r>
        <w:rPr>
          <w:rFonts w:ascii="Calibri" w:eastAsia="Calibri" w:hAnsi="Calibri" w:cs="Calibri"/>
          <w:sz w:val="22"/>
          <w:szCs w:val="22"/>
        </w:rPr>
        <w:t>Has this sovereign’s immunity waiver actually been tested in litigation before? A waiver with case law behind it (the way Argentina’s was tested in NML Capital v. Argentina) carries materially less uncertainty than one that has never been enforced.</w:t>
      </w:r>
    </w:p>
    <w:p w14:paraId="41732845"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A guarantee is only as good as a creditor’s ability to actually collect on it. An unenforceable guarantee against an unwilling sovereign is a moral commitment with legal packaging, not a credit enhancement.</w:t>
      </w:r>
    </w:p>
    <w:p w14:paraId="79DCA39F" w14:textId="77777777" w:rsidR="00A73BBA" w:rsidRDefault="00000000">
      <w:pPr>
        <w:pStyle w:val="Heading2"/>
        <w:spacing w:before="260" w:after="120"/>
      </w:pPr>
      <w:r>
        <w:rPr>
          <w:rFonts w:ascii="Calibri" w:eastAsia="Calibri" w:hAnsi="Calibri" w:cs="Calibri"/>
          <w:b/>
          <w:bCs/>
          <w:color w:val="2E5395"/>
          <w:sz w:val="24"/>
          <w:szCs w:val="24"/>
        </w:rPr>
        <w:t>4. Guarantee scope</w:t>
      </w:r>
    </w:p>
    <w:p w14:paraId="207E12AF" w14:textId="77777777" w:rsidR="00A73BBA" w:rsidRDefault="00000000">
      <w:pPr>
        <w:spacing w:after="120"/>
      </w:pPr>
      <w:r>
        <w:rPr>
          <w:rFonts w:ascii="Calibri" w:eastAsia="Calibri" w:hAnsi="Calibri" w:cs="Calibri"/>
          <w:b/>
          <w:bCs/>
          <w:sz w:val="22"/>
          <w:szCs w:val="22"/>
        </w:rPr>
        <w:t>What to check</w:t>
      </w:r>
    </w:p>
    <w:p w14:paraId="1F9F8A16" w14:textId="77777777" w:rsidR="00A73BBA" w:rsidRDefault="00000000">
      <w:pPr>
        <w:pStyle w:val="ListParagraph"/>
        <w:numPr>
          <w:ilvl w:val="0"/>
          <w:numId w:val="2"/>
        </w:numPr>
        <w:spacing w:after="100" w:line="276" w:lineRule="auto"/>
      </w:pPr>
      <w:r>
        <w:rPr>
          <w:rFonts w:ascii="Calibri" w:eastAsia="Calibri" w:hAnsi="Calibri" w:cs="Calibri"/>
          <w:sz w:val="22"/>
          <w:szCs w:val="22"/>
        </w:rPr>
        <w:t>Coverage: principal only, or principal plus coupon? Some structures only guarantee return of principal at maturity, leaving intermediate coupon payments unprotected, a meaningful gap for any cash-flow-dependent investor.</w:t>
      </w:r>
    </w:p>
    <w:p w14:paraId="46811E8C" w14:textId="77777777" w:rsidR="00A73BBA" w:rsidRDefault="00000000">
      <w:pPr>
        <w:pStyle w:val="ListParagraph"/>
        <w:numPr>
          <w:ilvl w:val="0"/>
          <w:numId w:val="2"/>
        </w:numPr>
        <w:spacing w:after="100" w:line="276" w:lineRule="auto"/>
      </w:pPr>
      <w:r>
        <w:rPr>
          <w:rFonts w:ascii="Calibri" w:eastAsia="Calibri" w:hAnsi="Calibri" w:cs="Calibri"/>
          <w:sz w:val="22"/>
          <w:szCs w:val="22"/>
        </w:rPr>
        <w:t>Conditionality: unconditional and irrevocable, or conditional? Conditional guarantees may trigger only on specific default events (straightforward non-payment) but exclude others: technical covenant breach, cross-default, or debt treatment under an IMF programme. The trigger definition is doing a lot of the real work here.</w:t>
      </w:r>
    </w:p>
    <w:p w14:paraId="627DAF4F" w14:textId="77777777" w:rsidR="00A73BBA" w:rsidRDefault="00000000">
      <w:pPr>
        <w:pStyle w:val="ListParagraph"/>
        <w:numPr>
          <w:ilvl w:val="0"/>
          <w:numId w:val="2"/>
        </w:numPr>
        <w:spacing w:after="100" w:line="276" w:lineRule="auto"/>
      </w:pPr>
      <w:r>
        <w:rPr>
          <w:rFonts w:ascii="Calibri" w:eastAsia="Calibri" w:hAnsi="Calibri" w:cs="Calibri"/>
          <w:sz w:val="22"/>
          <w:szCs w:val="22"/>
        </w:rPr>
        <w:t>Full vs partial (PCG): if partial, what is the actual structure?</w:t>
      </w:r>
    </w:p>
    <w:p w14:paraId="0ABB4A5C" w14:textId="77777777" w:rsidR="00A73BBA" w:rsidRDefault="00000000">
      <w:pPr>
        <w:pStyle w:val="ListParagraph"/>
        <w:numPr>
          <w:ilvl w:val="1"/>
          <w:numId w:val="2"/>
        </w:numPr>
        <w:spacing w:after="100" w:line="276" w:lineRule="auto"/>
      </w:pPr>
      <w:r>
        <w:rPr>
          <w:rFonts w:ascii="Calibri" w:eastAsia="Calibri" w:hAnsi="Calibri" w:cs="Calibri"/>
          <w:sz w:val="22"/>
          <w:szCs w:val="22"/>
        </w:rPr>
        <w:t>Percentage-of-principal / first-loss coverage: guarantor covers a defined share of principal in a default scenario; the bondholder retains real exposure to the issuer’s own recovery value on the uncovered portion.</w:t>
      </w:r>
    </w:p>
    <w:p w14:paraId="4E206B09" w14:textId="77777777" w:rsidR="00A73BBA" w:rsidRDefault="00000000">
      <w:pPr>
        <w:pStyle w:val="ListParagraph"/>
        <w:numPr>
          <w:ilvl w:val="1"/>
          <w:numId w:val="2"/>
        </w:numPr>
        <w:spacing w:after="100" w:line="276" w:lineRule="auto"/>
      </w:pPr>
      <w:r>
        <w:rPr>
          <w:rFonts w:ascii="Calibri" w:eastAsia="Calibri" w:hAnsi="Calibri" w:cs="Calibri"/>
          <w:sz w:val="22"/>
          <w:szCs w:val="22"/>
        </w:rPr>
        <w:t>Rolling / reinstating coverage: the guarantee covers a defined forward window (e.g. the next 12–18 months of debt service), replenished after each payment. This protects primarily against a near-term liquidity default, not against medium-term solvency risk.</w:t>
      </w:r>
    </w:p>
    <w:p w14:paraId="4CB71A46" w14:textId="77777777" w:rsidR="00A73BBA" w:rsidRDefault="00000000">
      <w:pPr>
        <w:pStyle w:val="ListParagraph"/>
        <w:numPr>
          <w:ilvl w:val="1"/>
          <w:numId w:val="2"/>
        </w:numPr>
        <w:spacing w:after="100" w:line="276" w:lineRule="auto"/>
      </w:pPr>
      <w:r>
        <w:rPr>
          <w:rFonts w:ascii="Calibri" w:eastAsia="Calibri" w:hAnsi="Calibri" w:cs="Calibri"/>
          <w:sz w:val="22"/>
          <w:szCs w:val="22"/>
        </w:rPr>
        <w:lastRenderedPageBreak/>
        <w:t>Specific trigger-only coverage: the guarantee is triggered only by defined events (e.g. non-payment) and may explicitly exclude others, such as restructuring under a multilateral programme.</w:t>
      </w:r>
    </w:p>
    <w:p w14:paraId="2777DFC0" w14:textId="77777777" w:rsidR="00A73BBA" w:rsidRDefault="00000000">
      <w:pPr>
        <w:pStyle w:val="ListParagraph"/>
        <w:numPr>
          <w:ilvl w:val="0"/>
          <w:numId w:val="2"/>
        </w:numPr>
        <w:spacing w:after="100" w:line="276" w:lineRule="auto"/>
      </w:pPr>
      <w:r>
        <w:rPr>
          <w:rFonts w:ascii="Calibri" w:eastAsia="Calibri" w:hAnsi="Calibri" w:cs="Calibri"/>
          <w:sz w:val="22"/>
          <w:szCs w:val="22"/>
        </w:rPr>
        <w:t>Timing of the guarantee call: is there a defined grace period, and how long does the guarantor have to actually pay out once called? Even a strong guarantee with a long payment window creates real interim risk.</w:t>
      </w:r>
    </w:p>
    <w:p w14:paraId="3CCF86F1"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This is where “the guarantee is strong” and “the guarantee removes credit risk” stop being the same statement. A partial credit guarantee mostly compresses loss given default, not probability of default; the underlying issuer’s own credit quality still anchors the analysis, regardless of how well-structured the guarantee mechanics are.</w:t>
      </w:r>
    </w:p>
    <w:p w14:paraId="00789C41" w14:textId="77777777" w:rsidR="00A73BBA" w:rsidRDefault="00000000">
      <w:pPr>
        <w:spacing w:after="200" w:line="276" w:lineRule="auto"/>
      </w:pPr>
      <w:r>
        <w:rPr>
          <w:rFonts w:ascii="Calibri" w:eastAsia="Calibri" w:hAnsi="Calibri" w:cs="Calibri"/>
          <w:b/>
          <w:bCs/>
          <w:i/>
          <w:iCs/>
          <w:sz w:val="22"/>
          <w:szCs w:val="22"/>
        </w:rPr>
        <w:t xml:space="preserve">Egypt example (strong mechanics, partial substitution): </w:t>
      </w:r>
      <w:r>
        <w:rPr>
          <w:rFonts w:ascii="Calibri" w:eastAsia="Calibri" w:hAnsi="Calibri" w:cs="Calibri"/>
          <w:i/>
          <w:iCs/>
          <w:sz w:val="22"/>
          <w:szCs w:val="22"/>
        </w:rPr>
        <w:t>Egypt’s AfDB-backed sustainability samurai bond carries an explicit partial credit guarantee from a AAA-rated multilateral, with tranches rated AA+ and AA as a result of the guarantee. The guarantee mechanics sit at the strong end of this checklist: foreign-governed structure, credible guarantor, defined coverage. But because the guarantee is partial, the underlying issuer’s own default probability continues to anchor the credit; the AA rating reflects improved expected loss, not full substitution of Egypt’s own risk profile.</w:t>
      </w:r>
    </w:p>
    <w:p w14:paraId="2E0F0EC7" w14:textId="77777777" w:rsidR="00A73BBA" w:rsidRDefault="00000000">
      <w:pPr>
        <w:pStyle w:val="Heading2"/>
        <w:spacing w:before="260" w:after="120"/>
      </w:pPr>
      <w:r>
        <w:rPr>
          <w:rFonts w:ascii="Calibri" w:eastAsia="Calibri" w:hAnsi="Calibri" w:cs="Calibri"/>
          <w:b/>
          <w:bCs/>
          <w:color w:val="2E5395"/>
          <w:sz w:val="24"/>
          <w:szCs w:val="24"/>
        </w:rPr>
        <w:t>5. Payment mechanism</w:t>
      </w:r>
    </w:p>
    <w:p w14:paraId="12B6C5BC" w14:textId="77777777" w:rsidR="00A73BBA" w:rsidRDefault="00000000">
      <w:pPr>
        <w:spacing w:after="120"/>
      </w:pPr>
      <w:r>
        <w:rPr>
          <w:rFonts w:ascii="Calibri" w:eastAsia="Calibri" w:hAnsi="Calibri" w:cs="Calibri"/>
          <w:b/>
          <w:bCs/>
          <w:sz w:val="22"/>
          <w:szCs w:val="22"/>
        </w:rPr>
        <w:t>What to check</w:t>
      </w:r>
    </w:p>
    <w:p w14:paraId="08CC6952" w14:textId="77777777" w:rsidR="00A73BBA" w:rsidRDefault="00000000">
      <w:pPr>
        <w:pStyle w:val="ListParagraph"/>
        <w:numPr>
          <w:ilvl w:val="0"/>
          <w:numId w:val="2"/>
        </w:numPr>
        <w:spacing w:after="100" w:line="276" w:lineRule="auto"/>
      </w:pPr>
      <w:r>
        <w:rPr>
          <w:rFonts w:ascii="Calibri" w:eastAsia="Calibri" w:hAnsi="Calibri" w:cs="Calibri"/>
          <w:sz w:val="22"/>
          <w:szCs w:val="22"/>
        </w:rPr>
        <w:t>Does the guarantor pay the bondholder or trustee directly, or is payment routed through a domestic paying agent or ministry?</w:t>
      </w:r>
    </w:p>
    <w:p w14:paraId="24F12A79" w14:textId="77777777" w:rsidR="00A73BBA" w:rsidRDefault="00000000">
      <w:pPr>
        <w:pStyle w:val="ListParagraph"/>
        <w:numPr>
          <w:ilvl w:val="0"/>
          <w:numId w:val="2"/>
        </w:numPr>
        <w:spacing w:after="100" w:line="276" w:lineRule="auto"/>
      </w:pPr>
      <w:r>
        <w:rPr>
          <w:rFonts w:ascii="Calibri" w:eastAsia="Calibri" w:hAnsi="Calibri" w:cs="Calibri"/>
          <w:sz w:val="22"/>
          <w:szCs w:val="22"/>
        </w:rPr>
        <w:t>If routed domestically, what foreign exchange conversion step is involved, and at what rate (official or market)? This reintroduces currency and convertibility risk even where the underlying credit risk is fully covered.</w:t>
      </w:r>
    </w:p>
    <w:p w14:paraId="52F71E37" w14:textId="77777777" w:rsidR="00A73BBA" w:rsidRDefault="00000000">
      <w:pPr>
        <w:pStyle w:val="ListParagraph"/>
        <w:numPr>
          <w:ilvl w:val="0"/>
          <w:numId w:val="2"/>
        </w:numPr>
        <w:spacing w:after="100" w:line="276" w:lineRule="auto"/>
      </w:pPr>
      <w:r>
        <w:rPr>
          <w:rFonts w:ascii="Calibri" w:eastAsia="Calibri" w:hAnsi="Calibri" w:cs="Calibri"/>
          <w:sz w:val="22"/>
          <w:szCs w:val="22"/>
        </w:rPr>
        <w:t>Is there an escrow or reserve account structure (common in some multilateral-guaranteed EM issuance) that pre-funds debt service? This is materially stronger than a pure “guarantor pays on demand” mechanism, because the funds are already set aside rather than requiring a fresh payment decision under stress.</w:t>
      </w:r>
    </w:p>
    <w:p w14:paraId="6D4EF34A"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A legally airtight guarantee can still be operationally slow or subject to administrative discretion if the payment path runs through the same government apparatus the guarantee is meant to protect against.</w:t>
      </w:r>
    </w:p>
    <w:p w14:paraId="08D8552C" w14:textId="77777777" w:rsidR="00A73BBA" w:rsidRDefault="00000000">
      <w:pPr>
        <w:pStyle w:val="Heading2"/>
        <w:spacing w:before="260" w:after="120"/>
      </w:pPr>
      <w:r>
        <w:rPr>
          <w:rFonts w:ascii="Calibri" w:eastAsia="Calibri" w:hAnsi="Calibri" w:cs="Calibri"/>
          <w:b/>
          <w:bCs/>
          <w:color w:val="2E5395"/>
          <w:sz w:val="24"/>
          <w:szCs w:val="24"/>
        </w:rPr>
        <w:t>6. Guarantor identity and own credit quality</w:t>
      </w:r>
    </w:p>
    <w:p w14:paraId="6E48330D" w14:textId="77777777" w:rsidR="00A73BBA" w:rsidRDefault="00000000">
      <w:pPr>
        <w:spacing w:after="120"/>
      </w:pPr>
      <w:r>
        <w:rPr>
          <w:rFonts w:ascii="Calibri" w:eastAsia="Calibri" w:hAnsi="Calibri" w:cs="Calibri"/>
          <w:b/>
          <w:bCs/>
          <w:sz w:val="22"/>
          <w:szCs w:val="22"/>
        </w:rPr>
        <w:t>What to check</w:t>
      </w:r>
    </w:p>
    <w:p w14:paraId="62DB7128" w14:textId="77777777" w:rsidR="00A73BBA" w:rsidRDefault="00000000">
      <w:pPr>
        <w:pStyle w:val="ListParagraph"/>
        <w:numPr>
          <w:ilvl w:val="0"/>
          <w:numId w:val="2"/>
        </w:numPr>
        <w:spacing w:after="100" w:line="276" w:lineRule="auto"/>
      </w:pPr>
      <w:r>
        <w:rPr>
          <w:rFonts w:ascii="Calibri" w:eastAsia="Calibri" w:hAnsi="Calibri" w:cs="Calibri"/>
          <w:sz w:val="22"/>
          <w:szCs w:val="22"/>
        </w:rPr>
        <w:t>If the guarantor is a sovereign or related sovereign entity, this substantially collapses back into standard sovereign credit analysis. Check whether the guarantor is genuinely independent of the issuer’s own fiscal situation, since correlated stress (a regional government guaranteeing a national entity, for instance) can undermine the diversification benefit.</w:t>
      </w:r>
    </w:p>
    <w:p w14:paraId="1790F9E7" w14:textId="77777777" w:rsidR="00A73BBA" w:rsidRDefault="00000000">
      <w:pPr>
        <w:pStyle w:val="ListParagraph"/>
        <w:numPr>
          <w:ilvl w:val="0"/>
          <w:numId w:val="2"/>
        </w:numPr>
        <w:spacing w:after="100" w:line="276" w:lineRule="auto"/>
      </w:pPr>
      <w:r>
        <w:rPr>
          <w:rFonts w:ascii="Calibri" w:eastAsia="Calibri" w:hAnsi="Calibri" w:cs="Calibri"/>
          <w:sz w:val="22"/>
          <w:szCs w:val="22"/>
        </w:rPr>
        <w:lastRenderedPageBreak/>
        <w:t>If the guarantor is multilateral (AfDB, World Bank/IBRD, IFC, US DFC, EIB): check its own senior unsecured rating (typically AAA or AA+), its preferred creditor status (multilaterals are generally repaid ahead of other creditors even in a sovereign restructuring, a real structural strength worth naming explicitly), and its track record of guarantee products actually being called and honoured.</w:t>
      </w:r>
    </w:p>
    <w:p w14:paraId="2FCFDBC0" w14:textId="77777777" w:rsidR="00A73BBA" w:rsidRDefault="00000000">
      <w:pPr>
        <w:pStyle w:val="ListParagraph"/>
        <w:numPr>
          <w:ilvl w:val="0"/>
          <w:numId w:val="2"/>
        </w:numPr>
        <w:spacing w:after="100" w:line="276" w:lineRule="auto"/>
      </w:pPr>
      <w:r>
        <w:rPr>
          <w:rFonts w:ascii="Calibri" w:eastAsia="Calibri" w:hAnsi="Calibri" w:cs="Calibri"/>
          <w:sz w:val="22"/>
          <w:szCs w:val="22"/>
        </w:rPr>
        <w:t>What currency does the guarantor’s obligation crystallize in? A guarantee denominated in a different currency than the underlying bond reintroduces basis and FX risk even with a top-tier guarantor.</w:t>
      </w:r>
    </w:p>
    <w:p w14:paraId="542E1D81"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The entire exercise only enhances credit if it substitutes a stronger credit for a weaker one. A guarantee only helps if the guarantor is genuinely better-rated and more reliable than the issuer standing alone. This sounds obvious, but it’s the step most often skipped in favour of just reading the headline rating.</w:t>
      </w:r>
    </w:p>
    <w:p w14:paraId="082EC604" w14:textId="77777777" w:rsidR="00A73BBA" w:rsidRDefault="00000000">
      <w:pPr>
        <w:pStyle w:val="Heading2"/>
        <w:spacing w:before="260" w:after="120"/>
      </w:pPr>
      <w:r>
        <w:rPr>
          <w:rFonts w:ascii="Calibri" w:eastAsia="Calibri" w:hAnsi="Calibri" w:cs="Calibri"/>
          <w:b/>
          <w:bCs/>
          <w:color w:val="2E5395"/>
          <w:sz w:val="24"/>
          <w:szCs w:val="24"/>
        </w:rPr>
        <w:t>7. Rating agency treatment</w:t>
      </w:r>
    </w:p>
    <w:p w14:paraId="056F4D5D" w14:textId="77777777" w:rsidR="00A73BBA" w:rsidRDefault="00000000">
      <w:pPr>
        <w:spacing w:after="120"/>
      </w:pPr>
      <w:r>
        <w:rPr>
          <w:rFonts w:ascii="Calibri" w:eastAsia="Calibri" w:hAnsi="Calibri" w:cs="Calibri"/>
          <w:b/>
          <w:bCs/>
          <w:sz w:val="22"/>
          <w:szCs w:val="22"/>
        </w:rPr>
        <w:t>What to check</w:t>
      </w:r>
    </w:p>
    <w:p w14:paraId="19F7AE52" w14:textId="77777777" w:rsidR="00A73BBA" w:rsidRDefault="00000000">
      <w:pPr>
        <w:pStyle w:val="ListParagraph"/>
        <w:numPr>
          <w:ilvl w:val="0"/>
          <w:numId w:val="2"/>
        </w:numPr>
        <w:spacing w:after="100" w:line="276" w:lineRule="auto"/>
      </w:pPr>
      <w:r>
        <w:rPr>
          <w:rFonts w:ascii="Calibri" w:eastAsia="Calibri" w:hAnsi="Calibri" w:cs="Calibri"/>
          <w:sz w:val="22"/>
          <w:szCs w:val="22"/>
        </w:rPr>
        <w:t>Do rating agencies rate the guaranteed instrument separately from the underlying issuer?</w:t>
      </w:r>
    </w:p>
    <w:p w14:paraId="4DE748D8" w14:textId="77777777" w:rsidR="00A73BBA" w:rsidRDefault="00000000">
      <w:pPr>
        <w:pStyle w:val="ListParagraph"/>
        <w:numPr>
          <w:ilvl w:val="0"/>
          <w:numId w:val="2"/>
        </w:numPr>
        <w:spacing w:after="100" w:line="276" w:lineRule="auto"/>
      </w:pPr>
      <w:r>
        <w:rPr>
          <w:rFonts w:ascii="Calibri" w:eastAsia="Calibri" w:hAnsi="Calibri" w:cs="Calibri"/>
          <w:sz w:val="22"/>
          <w:szCs w:val="22"/>
        </w:rPr>
        <w:t>Read the actual rating action commentary, not just the letter grade. Agencies typically explain exactly how much uplift the guarantee provided and why. This is where the probability-of-default versus loss-given-default distinction is usually made explicit, sometimes even quantified.</w:t>
      </w:r>
    </w:p>
    <w:p w14:paraId="3CE26421"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A rating is a single letter standing in for a blend of default probability and expected recovery. Two bonds can carry the same rating for very different reasons: one because the issuer itself is genuinely strong, another because a partial guarantee improved recovery assumptions on an otherwise weak issuer. Treating both as equivalent from a spread or relative-value perspective is a common and costly mistake.</w:t>
      </w:r>
    </w:p>
    <w:p w14:paraId="542821C6" w14:textId="77777777" w:rsidR="00A73BBA" w:rsidRDefault="00000000">
      <w:pPr>
        <w:pStyle w:val="Heading2"/>
        <w:spacing w:before="260" w:after="120"/>
      </w:pPr>
      <w:r>
        <w:rPr>
          <w:rFonts w:ascii="Calibri" w:eastAsia="Calibri" w:hAnsi="Calibri" w:cs="Calibri"/>
          <w:b/>
          <w:bCs/>
          <w:color w:val="2E5395"/>
          <w:sz w:val="24"/>
          <w:szCs w:val="24"/>
        </w:rPr>
        <w:t>8. Ranking and documentation transparency</w:t>
      </w:r>
    </w:p>
    <w:p w14:paraId="22A49654" w14:textId="77777777" w:rsidR="00A73BBA" w:rsidRDefault="00000000">
      <w:pPr>
        <w:spacing w:after="120"/>
      </w:pPr>
      <w:r>
        <w:rPr>
          <w:rFonts w:ascii="Calibri" w:eastAsia="Calibri" w:hAnsi="Calibri" w:cs="Calibri"/>
          <w:b/>
          <w:bCs/>
          <w:sz w:val="22"/>
          <w:szCs w:val="22"/>
        </w:rPr>
        <w:t>What to check</w:t>
      </w:r>
    </w:p>
    <w:p w14:paraId="1F27CF7D" w14:textId="77777777" w:rsidR="00A73BBA" w:rsidRDefault="00000000">
      <w:pPr>
        <w:pStyle w:val="ListParagraph"/>
        <w:numPr>
          <w:ilvl w:val="0"/>
          <w:numId w:val="2"/>
        </w:numPr>
        <w:spacing w:after="100" w:line="276" w:lineRule="auto"/>
      </w:pPr>
      <w:r>
        <w:rPr>
          <w:rFonts w:ascii="Calibri" w:eastAsia="Calibri" w:hAnsi="Calibri" w:cs="Calibri"/>
          <w:sz w:val="22"/>
          <w:szCs w:val="22"/>
        </w:rPr>
        <w:t>Does the guaranteed bond rank pari passu with the sovereign’s other external debt? Preferred ranking language should be explicit, not assumed, since it directly affects treatment in any future restructuring.</w:t>
      </w:r>
    </w:p>
    <w:p w14:paraId="554FA003" w14:textId="77777777" w:rsidR="00A73BBA" w:rsidRDefault="00000000">
      <w:pPr>
        <w:pStyle w:val="ListParagraph"/>
        <w:numPr>
          <w:ilvl w:val="0"/>
          <w:numId w:val="2"/>
        </w:numPr>
        <w:spacing w:after="100" w:line="276" w:lineRule="auto"/>
      </w:pPr>
      <w:r>
        <w:rPr>
          <w:rFonts w:ascii="Calibri" w:eastAsia="Calibri" w:hAnsi="Calibri" w:cs="Calibri"/>
          <w:sz w:val="22"/>
          <w:szCs w:val="22"/>
        </w:rPr>
        <w:t>Is the guarantee documentation itself publicly available? In practice it often is not, which is a risk factor in its own right: an investor is frequently relying on summary disclosure or rating agency commentary rather than the underlying legal instrument.</w:t>
      </w:r>
    </w:p>
    <w:p w14:paraId="6ABA765E"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Where full documentation isn’t accessible, the scope and reliability of the government backstop has to be assessed with less certainty than the headline rating implies. That is itself an input into guarantee quality, not a footnote to it.</w:t>
      </w:r>
    </w:p>
    <w:p w14:paraId="0E5BE7D7" w14:textId="77777777" w:rsidR="00A73BBA" w:rsidRDefault="00000000">
      <w:pPr>
        <w:pStyle w:val="Heading2"/>
        <w:spacing w:before="260" w:after="120"/>
      </w:pPr>
      <w:r>
        <w:rPr>
          <w:rFonts w:ascii="Calibri" w:eastAsia="Calibri" w:hAnsi="Calibri" w:cs="Calibri"/>
          <w:b/>
          <w:bCs/>
          <w:color w:val="2E5395"/>
          <w:sz w:val="24"/>
          <w:szCs w:val="24"/>
        </w:rPr>
        <w:t>9. Restructuring treatment</w:t>
      </w:r>
    </w:p>
    <w:p w14:paraId="76D9E7F6" w14:textId="77777777" w:rsidR="00A73BBA" w:rsidRDefault="00000000">
      <w:pPr>
        <w:spacing w:after="120"/>
      </w:pPr>
      <w:r>
        <w:rPr>
          <w:rFonts w:ascii="Calibri" w:eastAsia="Calibri" w:hAnsi="Calibri" w:cs="Calibri"/>
          <w:b/>
          <w:bCs/>
          <w:sz w:val="22"/>
          <w:szCs w:val="22"/>
        </w:rPr>
        <w:t>What to check</w:t>
      </w:r>
    </w:p>
    <w:p w14:paraId="20A4C5CD" w14:textId="77777777" w:rsidR="00A73BBA" w:rsidRDefault="00000000">
      <w:pPr>
        <w:pStyle w:val="ListParagraph"/>
        <w:numPr>
          <w:ilvl w:val="0"/>
          <w:numId w:val="2"/>
        </w:numPr>
        <w:spacing w:after="100" w:line="276" w:lineRule="auto"/>
      </w:pPr>
      <w:r>
        <w:rPr>
          <w:rFonts w:ascii="Calibri" w:eastAsia="Calibri" w:hAnsi="Calibri" w:cs="Calibri"/>
          <w:sz w:val="22"/>
          <w:szCs w:val="22"/>
        </w:rPr>
        <w:lastRenderedPageBreak/>
        <w:t>Is the guaranteed instrument explicitly carved out of, or explicitly included within, the perimeter of any future sovereign debt restructuring, whether negotiated bilaterally, under the G20 Common Framework, or through a Paris Club-style process? Guarantee documentation frequently doesn’t address this at all, and the absence of language is itself informative, not neutral.</w:t>
      </w:r>
    </w:p>
    <w:p w14:paraId="6C44FF7E" w14:textId="77777777" w:rsidR="00A73BBA" w:rsidRDefault="00000000">
      <w:pPr>
        <w:pStyle w:val="ListParagraph"/>
        <w:numPr>
          <w:ilvl w:val="0"/>
          <w:numId w:val="2"/>
        </w:numPr>
        <w:spacing w:after="100" w:line="276" w:lineRule="auto"/>
      </w:pPr>
      <w:r>
        <w:rPr>
          <w:rFonts w:ascii="Calibri" w:eastAsia="Calibri" w:hAnsi="Calibri" w:cs="Calibri"/>
          <w:sz w:val="22"/>
          <w:szCs w:val="22"/>
        </w:rPr>
        <w:t>If the guarantor is a multilateral, does its preferred creditor status (see #6) actually hold up in this sovereign’s specific restructuring history and current programme design, or is it a market convention being assumed rather than a tested feature of this case?</w:t>
      </w:r>
    </w:p>
    <w:p w14:paraId="2E0A838E" w14:textId="77777777" w:rsidR="00A73BBA" w:rsidRDefault="00000000">
      <w:pPr>
        <w:pStyle w:val="ListParagraph"/>
        <w:numPr>
          <w:ilvl w:val="0"/>
          <w:numId w:val="2"/>
        </w:numPr>
        <w:spacing w:after="100" w:line="276" w:lineRule="auto"/>
      </w:pPr>
      <w:r>
        <w:rPr>
          <w:rFonts w:ascii="Calibri" w:eastAsia="Calibri" w:hAnsi="Calibri" w:cs="Calibri"/>
          <w:sz w:val="22"/>
          <w:szCs w:val="22"/>
        </w:rPr>
        <w:t>Has an IMF-supported programme’s debt sustainability analysis treated this guarantee, or guarantees of this type, as inside or outside the measured public debt stock? Programme documents sometimes state this explicitly, and it is a strong signal of how the guarantee would actually be handled in a restructuring rather than how it is marketed.</w:t>
      </w:r>
    </w:p>
    <w:p w14:paraId="64659EF3" w14:textId="77777777" w:rsidR="00A73BBA" w:rsidRDefault="00000000">
      <w:pPr>
        <w:pStyle w:val="ListParagraph"/>
        <w:numPr>
          <w:ilvl w:val="0"/>
          <w:numId w:val="2"/>
        </w:numPr>
        <w:spacing w:after="100" w:line="276" w:lineRule="auto"/>
      </w:pPr>
      <w:r>
        <w:rPr>
          <w:rFonts w:ascii="Calibri" w:eastAsia="Calibri" w:hAnsi="Calibri" w:cs="Calibri"/>
          <w:sz w:val="22"/>
          <w:szCs w:val="22"/>
        </w:rPr>
        <w:t>Does this sovereign’s own restructuring precedent, or the lack of one, suggest guaranteed quasi-sovereign paper has historically been carved out or swept in on the same terms as plain sovereign debt?</w:t>
      </w:r>
    </w:p>
    <w:p w14:paraId="298FAB3E" w14:textId="77777777" w:rsidR="00A73BBA" w:rsidRDefault="00000000">
      <w:pPr>
        <w:spacing w:after="20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Every other item on this checklist assesses enforceability against a solvent government choosing not to pay. A restructuring is a different scenario: the government, often alongside its official creditors, is collectively deciding how to reallocate losses across creditor classes rather than simply defaulting. A guarantee that scores strong on mechanics elsewhere on this checklist can still be pulled into that renegotiation if it isn’t explicitly carved out, and multilateral preferred creditor status is a market convention rather than a universal legal guarantee, so its durability should be checked against the specific institution and country rather than assumed. For an issuer under, or approaching, an IMF programme, this is the scenario the rest of the checklist doesn’t reach on its own.</w:t>
      </w:r>
    </w:p>
    <w:p w14:paraId="07A930A2" w14:textId="77777777" w:rsidR="00A73BBA" w:rsidRDefault="00000000">
      <w:pPr>
        <w:pStyle w:val="Heading1"/>
        <w:spacing w:before="360" w:after="160"/>
      </w:pPr>
      <w:r>
        <w:rPr>
          <w:rFonts w:ascii="Calibri" w:eastAsia="Calibri" w:hAnsi="Calibri" w:cs="Calibri"/>
          <w:b/>
          <w:bCs/>
          <w:color w:val="1F3864"/>
          <w:sz w:val="26"/>
          <w:szCs w:val="26"/>
        </w:rPr>
        <w:t>Applying the scale</w:t>
      </w:r>
    </w:p>
    <w:p w14:paraId="00BB78CB" w14:textId="77777777" w:rsidR="00A73BBA" w:rsidRDefault="00000000">
      <w:pPr>
        <w:spacing w:after="200" w:line="276" w:lineRule="auto"/>
      </w:pPr>
      <w:r>
        <w:rPr>
          <w:rFonts w:ascii="Calibri" w:eastAsia="Calibri" w:hAnsi="Calibri" w:cs="Calibri"/>
          <w:b/>
          <w:bCs/>
          <w:sz w:val="22"/>
          <w:szCs w:val="22"/>
        </w:rPr>
        <w:t xml:space="preserve">How the checklist above rolls up into a single tier: </w:t>
      </w:r>
      <w:r>
        <w:rPr>
          <w:rFonts w:ascii="Calibri" w:eastAsia="Calibri" w:hAnsi="Calibri" w:cs="Calibri"/>
          <w:sz w:val="22"/>
          <w:szCs w:val="22"/>
        </w:rPr>
        <w:t>this is a weighted judgment call, not a simple count of how many factors score well. Governing law and the guarantee-of-payment-versus-collection distinction (factor 2), together with the immunity waiver (factor 3), are load-bearing: they determine whether the guarantee is enforceable at all. A weak result on either caps the overall placement at moderate, no matter how strong the remaining factors are. Guarantee scope, guarantor identity, and rating agency treatment (factors 4, 6, and 7) determine how much protection a sound legal structure actually delivers, and are what move an instrument from moderate to strong; they cannot rescue a structure that is weak on enforceability. Payment mechanism and documentation transparency (factors 5 and 8) are modifiers that shave confidence off a placement rather than changing the tier outright. Restructuring treatment (factor 9) sits outside this ladder rather than inside it: it does not raise or lower the baseline tier, since it is usually untested until an actual restructuring occurs, but a guarantee that would clearly be swept into a restructuring perimeter should be flagged as a standing caveat regardless of where it otherwise scores. In short: check enforceability first; if it fails, stop there. If it holds, use the delivery factors to decide between moderate and strong, and carry the restructuring question as a separate, permanent flag rather than folding it into the score.</w:t>
      </w:r>
    </w:p>
    <w:p w14:paraId="3315B13B" w14:textId="77777777" w:rsidR="00A73BBA" w:rsidRDefault="00000000">
      <w:pPr>
        <w:pStyle w:val="Heading2"/>
        <w:spacing w:before="260" w:after="120"/>
      </w:pPr>
      <w:r>
        <w:rPr>
          <w:rFonts w:ascii="Calibri" w:eastAsia="Calibri" w:hAnsi="Calibri" w:cs="Calibri"/>
          <w:b/>
          <w:bCs/>
          <w:color w:val="2E5395"/>
          <w:sz w:val="24"/>
          <w:szCs w:val="24"/>
        </w:rPr>
        <w:lastRenderedPageBreak/>
        <w:t>Applying the rule: the AfDB samurai bond, worked</w:t>
      </w:r>
    </w:p>
    <w:p w14:paraId="623CE1B9" w14:textId="77777777" w:rsidR="00A73BBA" w:rsidRDefault="00000000">
      <w:pPr>
        <w:pStyle w:val="ListParagraph"/>
        <w:numPr>
          <w:ilvl w:val="0"/>
          <w:numId w:val="2"/>
        </w:numPr>
        <w:spacing w:after="100" w:line="276" w:lineRule="auto"/>
      </w:pPr>
      <w:r>
        <w:rPr>
          <w:rFonts w:ascii="Calibri" w:eastAsia="Calibri" w:hAnsi="Calibri" w:cs="Calibri"/>
          <w:b/>
          <w:sz w:val="22"/>
          <w:szCs w:val="22"/>
        </w:rPr>
        <w:t xml:space="preserve">Enforceability (factors 1–3): </w:t>
      </w:r>
      <w:r>
        <w:rPr>
          <w:rFonts w:ascii="Calibri" w:eastAsia="Calibri" w:hAnsi="Calibri" w:cs="Calibri"/>
          <w:sz w:val="22"/>
          <w:szCs w:val="22"/>
        </w:rPr>
        <w:t>explicit, standalone guarantee; foreign, multilateral-governed structure. This passes cleanly, so the placement is not capped at moderate.</w:t>
      </w:r>
    </w:p>
    <w:p w14:paraId="54AC71E0" w14:textId="77777777" w:rsidR="00A73BBA" w:rsidRDefault="00000000">
      <w:pPr>
        <w:pStyle w:val="ListParagraph"/>
        <w:numPr>
          <w:ilvl w:val="0"/>
          <w:numId w:val="2"/>
        </w:numPr>
        <w:spacing w:after="100" w:line="276" w:lineRule="auto"/>
      </w:pPr>
      <w:r>
        <w:rPr>
          <w:rFonts w:ascii="Calibri" w:eastAsia="Calibri" w:hAnsi="Calibri" w:cs="Calibri"/>
          <w:b/>
          <w:sz w:val="22"/>
          <w:szCs w:val="22"/>
        </w:rPr>
        <w:t xml:space="preserve">Delivery (factors 4, 6, 7): </w:t>
      </w:r>
      <w:r>
        <w:rPr>
          <w:rFonts w:ascii="Calibri" w:eastAsia="Calibri" w:hAnsi="Calibri" w:cs="Calibri"/>
          <w:sz w:val="22"/>
          <w:szCs w:val="22"/>
        </w:rPr>
        <w:t>guarantor identity and rating treatment are both strong – AfDB is AAA-rated with preferred creditor status, and the tranches carry explicit AA+/AA ratings that quantify the uplift. Scope, however, is partial rather than full: this is the one factor that does not clear the strong bar outright.</w:t>
      </w:r>
    </w:p>
    <w:p w14:paraId="769983AD" w14:textId="77777777" w:rsidR="00A73BBA" w:rsidRDefault="00000000">
      <w:pPr>
        <w:pStyle w:val="ListParagraph"/>
        <w:numPr>
          <w:ilvl w:val="0"/>
          <w:numId w:val="2"/>
        </w:numPr>
        <w:spacing w:after="100" w:line="276" w:lineRule="auto"/>
      </w:pPr>
      <w:r>
        <w:rPr>
          <w:rFonts w:ascii="Calibri" w:eastAsia="Calibri" w:hAnsi="Calibri" w:cs="Calibri"/>
          <w:b/>
          <w:sz w:val="22"/>
          <w:szCs w:val="22"/>
        </w:rPr>
        <w:t xml:space="preserve">Modifiers and restructuring flag (factors 5, 8, 9): </w:t>
      </w:r>
      <w:r>
        <w:rPr>
          <w:rFonts w:ascii="Calibri" w:eastAsia="Calibri" w:hAnsi="Calibri" w:cs="Calibri"/>
          <w:sz w:val="22"/>
          <w:szCs w:val="22"/>
        </w:rPr>
        <w:t>payment mechanism and full documentation availability are not confirmed from public sources alone and should be verified directly against the guarantee agreement before finalizing a score. Restructuring treatment is an open flag rather than a scored input: nothing in the public structure explicitly addresses how this guarantee would be treated inside an Egyptian sovereign restructuring, so it carries forward as a caveat regardless of the tier reached below.</w:t>
      </w:r>
    </w:p>
    <w:p w14:paraId="7A5D73DD" w14:textId="77777777" w:rsidR="00A73BBA" w:rsidRDefault="00000000">
      <w:pPr>
        <w:spacing w:after="200" w:line="276" w:lineRule="auto"/>
      </w:pPr>
      <w:r>
        <w:rPr>
          <w:rFonts w:ascii="Calibri" w:eastAsia="Calibri" w:hAnsi="Calibri" w:cs="Calibri"/>
          <w:b/>
          <w:bCs/>
          <w:sz w:val="22"/>
          <w:szCs w:val="22"/>
        </w:rPr>
        <w:t xml:space="preserve">Result: </w:t>
      </w:r>
      <w:r>
        <w:rPr>
          <w:rFonts w:ascii="Calibri" w:eastAsia="Calibri" w:hAnsi="Calibri" w:cs="Calibri"/>
          <w:sz w:val="22"/>
          <w:szCs w:val="22"/>
        </w:rPr>
        <w:t>strong on enforceability and delivery, which places the guarantee mechanics at the strong end of the scale below – consistent with the placement already given in the “strong” tier and in the companion framework piece. The partial scope means this is strong mechanics achieving partial substitution, not a clean AA-equivalent credit, and the restructuring question remains unresolved and should be tracked as a standing caveat rather than treated as settled by the rating.</w:t>
      </w:r>
    </w:p>
    <w:p w14:paraId="6E32D467" w14:textId="77777777" w:rsidR="00A73BBA" w:rsidRDefault="00000000">
      <w:pPr>
        <w:spacing w:after="200" w:line="276" w:lineRule="auto"/>
      </w:pPr>
      <w:r>
        <w:rPr>
          <w:rFonts w:ascii="Calibri" w:eastAsia="Calibri" w:hAnsi="Calibri" w:cs="Calibri"/>
          <w:sz w:val="22"/>
          <w:szCs w:val="22"/>
        </w:rPr>
        <w:t>The caveat that applies across every tier: this scale measures guarantee mechanics and enforceability (how well-structured and reliable the promise itself is), not the degree of credit substitution achieved. A bond can sit at the strong end of this scale on mechanics while still only achieving partial substitution of the underlying issuer’s credit risk, because the guarantee itself is scoped as partial. Keeping these as two separate questions, rather than collapsing them into a single “strong guarantee equals safe bond” conclusion, is the difference between a rigorous framework and a naive one.</w:t>
      </w:r>
    </w:p>
    <w:sectPr w:rsidR="00A73B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B4623"/>
    <w:multiLevelType w:val="hybridMultilevel"/>
    <w:tmpl w:val="FCDAE1DC"/>
    <w:lvl w:ilvl="0" w:tplc="66009A1E">
      <w:start w:val="1"/>
      <w:numFmt w:val="bullet"/>
      <w:lvlText w:val="•"/>
      <w:lvlJc w:val="left"/>
      <w:pPr>
        <w:ind w:left="504" w:hanging="288"/>
      </w:pPr>
    </w:lvl>
    <w:lvl w:ilvl="1" w:tplc="F676ABD2">
      <w:start w:val="1"/>
      <w:numFmt w:val="bullet"/>
      <w:lvlText w:val="◦"/>
      <w:lvlJc w:val="left"/>
      <w:pPr>
        <w:ind w:left="1008" w:hanging="288"/>
      </w:pPr>
    </w:lvl>
    <w:lvl w:ilvl="2" w:tplc="42D2EC88">
      <w:numFmt w:val="decimal"/>
      <w:lvlText w:val=""/>
      <w:lvlJc w:val="left"/>
    </w:lvl>
    <w:lvl w:ilvl="3" w:tplc="D1A664C2">
      <w:numFmt w:val="decimal"/>
      <w:lvlText w:val=""/>
      <w:lvlJc w:val="left"/>
    </w:lvl>
    <w:lvl w:ilvl="4" w:tplc="FCAE27A8">
      <w:numFmt w:val="decimal"/>
      <w:lvlText w:val=""/>
      <w:lvlJc w:val="left"/>
    </w:lvl>
    <w:lvl w:ilvl="5" w:tplc="9AF2D25E">
      <w:numFmt w:val="decimal"/>
      <w:lvlText w:val=""/>
      <w:lvlJc w:val="left"/>
    </w:lvl>
    <w:lvl w:ilvl="6" w:tplc="F09E81FE">
      <w:numFmt w:val="decimal"/>
      <w:lvlText w:val=""/>
      <w:lvlJc w:val="left"/>
    </w:lvl>
    <w:lvl w:ilvl="7" w:tplc="5FEECCF4">
      <w:numFmt w:val="decimal"/>
      <w:lvlText w:val=""/>
      <w:lvlJc w:val="left"/>
    </w:lvl>
    <w:lvl w:ilvl="8" w:tplc="3378F1D8">
      <w:numFmt w:val="decimal"/>
      <w:lvlText w:val=""/>
      <w:lvlJc w:val="left"/>
    </w:lvl>
  </w:abstractNum>
  <w:abstractNum w:abstractNumId="1" w15:restartNumberingAfterBreak="0">
    <w:nsid w:val="2F0043DD"/>
    <w:multiLevelType w:val="hybridMultilevel"/>
    <w:tmpl w:val="92485500"/>
    <w:lvl w:ilvl="0" w:tplc="3E0A7666">
      <w:start w:val="1"/>
      <w:numFmt w:val="bullet"/>
      <w:lvlText w:val="●"/>
      <w:lvlJc w:val="left"/>
      <w:pPr>
        <w:ind w:left="720" w:hanging="360"/>
      </w:pPr>
    </w:lvl>
    <w:lvl w:ilvl="1" w:tplc="9182C2EC">
      <w:start w:val="1"/>
      <w:numFmt w:val="bullet"/>
      <w:lvlText w:val="○"/>
      <w:lvlJc w:val="left"/>
      <w:pPr>
        <w:ind w:left="1440" w:hanging="360"/>
      </w:pPr>
    </w:lvl>
    <w:lvl w:ilvl="2" w:tplc="571EAA08">
      <w:start w:val="1"/>
      <w:numFmt w:val="bullet"/>
      <w:lvlText w:val="■"/>
      <w:lvlJc w:val="left"/>
      <w:pPr>
        <w:ind w:left="2160" w:hanging="360"/>
      </w:pPr>
    </w:lvl>
    <w:lvl w:ilvl="3" w:tplc="77D4A0B8">
      <w:start w:val="1"/>
      <w:numFmt w:val="bullet"/>
      <w:lvlText w:val="●"/>
      <w:lvlJc w:val="left"/>
      <w:pPr>
        <w:ind w:left="2880" w:hanging="360"/>
      </w:pPr>
    </w:lvl>
    <w:lvl w:ilvl="4" w:tplc="5C3CC184">
      <w:start w:val="1"/>
      <w:numFmt w:val="bullet"/>
      <w:lvlText w:val="○"/>
      <w:lvlJc w:val="left"/>
      <w:pPr>
        <w:ind w:left="3600" w:hanging="360"/>
      </w:pPr>
    </w:lvl>
    <w:lvl w:ilvl="5" w:tplc="6EF41466">
      <w:start w:val="1"/>
      <w:numFmt w:val="bullet"/>
      <w:lvlText w:val="■"/>
      <w:lvlJc w:val="left"/>
      <w:pPr>
        <w:ind w:left="4320" w:hanging="360"/>
      </w:pPr>
    </w:lvl>
    <w:lvl w:ilvl="6" w:tplc="F71A6872">
      <w:start w:val="1"/>
      <w:numFmt w:val="bullet"/>
      <w:lvlText w:val="●"/>
      <w:lvlJc w:val="left"/>
      <w:pPr>
        <w:ind w:left="5040" w:hanging="360"/>
      </w:pPr>
    </w:lvl>
    <w:lvl w:ilvl="7" w:tplc="351CE44E">
      <w:start w:val="1"/>
      <w:numFmt w:val="bullet"/>
      <w:lvlText w:val="●"/>
      <w:lvlJc w:val="left"/>
      <w:pPr>
        <w:ind w:left="5760" w:hanging="360"/>
      </w:pPr>
    </w:lvl>
    <w:lvl w:ilvl="8" w:tplc="2DE4082E">
      <w:start w:val="1"/>
      <w:numFmt w:val="bullet"/>
      <w:lvlText w:val="●"/>
      <w:lvlJc w:val="left"/>
      <w:pPr>
        <w:ind w:left="6480" w:hanging="360"/>
      </w:pPr>
    </w:lvl>
  </w:abstractNum>
  <w:num w:numId="1" w16cid:durableId="1672366129">
    <w:abstractNumId w:val="1"/>
    <w:lvlOverride w:ilvl="0">
      <w:startOverride w:val="1"/>
    </w:lvlOverride>
  </w:num>
  <w:num w:numId="2" w16cid:durableId="2829320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BBA"/>
    <w:rsid w:val="00341634"/>
    <w:rsid w:val="007B2EA8"/>
    <w:rsid w:val="00A73BBA"/>
    <w:rsid w:val="00C70C00"/>
    <w:rsid w:val="00DD20ED"/>
    <w:rsid w:val="00E37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A9DEB6"/>
  <w15:docId w15:val="{3DC0D87A-2D8C-6D49-BDA0-270707B0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3190</Words>
  <Characters>18185</Characters>
  <Application>Microsoft Office Word</Application>
  <DocSecurity>0</DocSecurity>
  <Lines>151</Lines>
  <Paragraphs>42</Paragraphs>
  <ScaleCrop>false</ScaleCrop>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Ashraf8,S (pgt)</cp:lastModifiedBy>
  <cp:revision>2</cp:revision>
  <dcterms:created xsi:type="dcterms:W3CDTF">2026-07-08T12:25:00Z</dcterms:created>
  <dcterms:modified xsi:type="dcterms:W3CDTF">2026-07-08T12:25:00Z</dcterms:modified>
</cp:coreProperties>
</file>