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AEA0360" w14:textId="77777777" w:rsidR="005A3FFE" w:rsidRDefault="00000000">
      <w:pPr>
        <w:spacing w:after="60"/>
      </w:pPr>
      <w:r>
        <w:rPr>
          <w:rFonts w:ascii="Calibri" w:eastAsia="Calibri" w:hAnsi="Calibri" w:cs="Calibri"/>
          <w:b/>
          <w:bCs/>
          <w:color w:val="1F3864"/>
          <w:sz w:val="32"/>
          <w:szCs w:val="32"/>
        </w:rPr>
        <w:t>When does a guarantee actually transfer sovereign risk?</w:t>
      </w:r>
    </w:p>
    <w:p w14:paraId="2E906925" w14:textId="77777777" w:rsidR="005A3FFE" w:rsidRDefault="00000000">
      <w:pPr>
        <w:spacing w:after="300"/>
      </w:pPr>
      <w:r>
        <w:rPr>
          <w:rFonts w:ascii="Calibri" w:eastAsia="Calibri" w:hAnsi="Calibri" w:cs="Calibri"/>
          <w:i/>
          <w:iCs/>
          <w:color w:val="555555"/>
          <w:sz w:val="24"/>
          <w:szCs w:val="24"/>
        </w:rPr>
        <w:t>A framework for pricing quasi-sovereign issuance: Egypt case study</w:t>
      </w:r>
    </w:p>
    <w:p w14:paraId="751E803D" w14:textId="77777777" w:rsidR="005A3FFE" w:rsidRDefault="00000000">
      <w:pPr>
        <w:spacing w:after="200" w:line="276" w:lineRule="auto"/>
      </w:pPr>
      <w:r>
        <w:rPr>
          <w:rFonts w:ascii="Calibri" w:eastAsia="Calibri" w:hAnsi="Calibri" w:cs="Calibri"/>
          <w:sz w:val="22"/>
          <w:szCs w:val="22"/>
        </w:rPr>
        <w:t>Most Egypt credit coverage stops at the sovereign curve: is the IMF programme on track, where should the eurobonds trade, is the currency stable. That’s the right starting point, but it’s incomplete for a market that is increasingly issuing outside a single sovereign instrument. Egypt’s debt management strategy now explicitly includes guaranteed and multilateral-backed structures such as samurai bonds with African Development Bank (AfDB) partial credit guarantees, sukuk, and IMF-adjacent issuance, as a deliberate tool for accessing cheaper funding and diversifying its investor base. For a credit investor, that raises a question most top-down sovereign analysis doesn’t answer: when a bond carries a guarantee, how much of the sovereign’s own risk has actually been removed, and how much has simply been repackaged with a reassuring label? Getting this wrong in either direction is costly: overpaying for protection that isn’t fully there, or missing real value in a well-structured guarantee the market hasn’t priced correctly. This piece works through that question directly: what actually makes a guarantee credible, how to tell partial credit enhancement from full substitution, and how to apply that discipline to the guaranteed instruments Egypt is bringing to market now.</w:t>
      </w:r>
    </w:p>
    <w:p w14:paraId="2E2A8F29" w14:textId="77777777" w:rsidR="005A3FFE" w:rsidRDefault="00000000">
      <w:pPr>
        <w:spacing w:after="200" w:line="276" w:lineRule="auto"/>
      </w:pPr>
      <w:r>
        <w:rPr>
          <w:rFonts w:ascii="Calibri" w:eastAsia="Calibri" w:hAnsi="Calibri" w:cs="Calibri"/>
          <w:sz w:val="22"/>
          <w:szCs w:val="22"/>
        </w:rPr>
        <w:t xml:space="preserve">This framework builds on the sovereign credit risk concepts set out in Lupin Rahman’s </w:t>
      </w:r>
      <w:r>
        <w:rPr>
          <w:rFonts w:ascii="Calibri" w:eastAsia="Calibri" w:hAnsi="Calibri" w:cs="Calibri"/>
          <w:i/>
          <w:iCs/>
          <w:sz w:val="22"/>
          <w:szCs w:val="22"/>
        </w:rPr>
        <w:t>The Sovereign Debt Investor</w:t>
      </w:r>
      <w:r>
        <w:rPr>
          <w:rFonts w:ascii="Calibri" w:eastAsia="Calibri" w:hAnsi="Calibri" w:cs="Calibri"/>
          <w:sz w:val="22"/>
          <w:szCs w:val="22"/>
        </w:rPr>
        <w:t xml:space="preserve"> (Wiley, 2025), extended here to guarantee structures and issuance mechanics and applied to Egyptian quasi-sovereign credit. Government guarantees on quasi-sovereign debt, whether covering state-owned enterprises, local government issuance, or other public-sector borrowers, transfer credit risk through to the sovereign. Given that sovereign credit risk is typically the subject of extensive existing analysis, the practical question for an investor shifts to a narrower one: how good is the guarantee itself? That is the focus of what follows, establishing what to look for in a guarantee, and building a working framework for assessing quality across the spectrum from poor to strong.</w:t>
      </w:r>
    </w:p>
    <w:p w14:paraId="31C2DA0F" w14:textId="77777777" w:rsidR="005A3FFE" w:rsidRDefault="00000000">
      <w:pPr>
        <w:spacing w:after="200" w:line="276" w:lineRule="auto"/>
      </w:pPr>
      <w:r>
        <w:rPr>
          <w:rFonts w:ascii="Calibri" w:eastAsia="Calibri" w:hAnsi="Calibri" w:cs="Calibri"/>
          <w:sz w:val="22"/>
          <w:szCs w:val="22"/>
        </w:rPr>
        <w:t>The intuitive assumption is that once a bond is government-guaranteed, it should trade close to the sovereign curve. That assumption is usually right, but it rests on a premise that often goes unexamined: that the sovereign is the stronger credit in the first place. It is worth stating plainly, because it runs against the instinct that a guarantee automatically means “safer.” A guarantee does not reduce credit risk in the abstract. It reallocates it. Whether that reallocation helps or hurts the bondholder depends entirely on which side of the guarantee, issuer or guarantor, is actually the stronger credit.</w:t>
      </w:r>
    </w:p>
    <w:p w14:paraId="1B3433D7" w14:textId="77777777" w:rsidR="005A3FFE" w:rsidRDefault="00000000">
      <w:pPr>
        <w:pStyle w:val="Heading1"/>
        <w:spacing w:before="360" w:after="160"/>
      </w:pPr>
      <w:r>
        <w:rPr>
          <w:rFonts w:ascii="Calibri" w:eastAsia="Calibri" w:hAnsi="Calibri" w:cs="Calibri"/>
          <w:b/>
          <w:bCs/>
          <w:color w:val="1F3864"/>
          <w:sz w:val="26"/>
          <w:szCs w:val="26"/>
        </w:rPr>
        <w:t>Direction matters more than guarantee quality alone</w:t>
      </w:r>
    </w:p>
    <w:p w14:paraId="3CB57009" w14:textId="77777777" w:rsidR="005A3FFE" w:rsidRDefault="00000000">
      <w:pPr>
        <w:spacing w:after="200" w:line="276" w:lineRule="auto"/>
      </w:pPr>
      <w:r>
        <w:rPr>
          <w:rFonts w:ascii="Calibri" w:eastAsia="Calibri" w:hAnsi="Calibri" w:cs="Calibri"/>
          <w:sz w:val="22"/>
          <w:szCs w:val="22"/>
        </w:rPr>
        <w:t>The default assumption most investors make is that a government guarantee reduces the relative credit risk of an instrument, because the sovereign is presumed to be more creditworthy than the underlying state-owned enterprise (SOE). Where that base case holds (sovereign stronger than SOE), a stronger guarantee genuinely benefits the bondholder, and its degree of “betterness” is measured by guarantee quality: the stronger the guarantee, the more of that sovereign strength the bondholder actually receives.</w:t>
      </w:r>
    </w:p>
    <w:p w14:paraId="1797D433" w14:textId="77777777" w:rsidR="005A3FFE" w:rsidRDefault="00000000">
      <w:pPr>
        <w:spacing w:after="200" w:line="276" w:lineRule="auto"/>
      </w:pPr>
      <w:r>
        <w:rPr>
          <w:rFonts w:ascii="Calibri" w:eastAsia="Calibri" w:hAnsi="Calibri" w:cs="Calibri"/>
          <w:sz w:val="22"/>
          <w:szCs w:val="22"/>
        </w:rPr>
        <w:lastRenderedPageBreak/>
        <w:t>But the base case does not always hold. In several real scenarios (export-oriented or hard-currency-revenue SOEs in energy, telecoms, or banking, with strong FX deposit bases), standalone debt service capacity can be stronger than that of a fiscally stressed sovereign. In a genuine default or restructuring scenario, an unguaranteed bond from a strong-cashflow SOE can actually be safer than a guaranteed one, because the SOE’s own assets and revenue are not necessarily swept into a sovereign restructuring perimeter, whereas an explicit guarantee ties that same credit directly to the sovereign’s fate. This is the scenario in which an investor might reasonably prefer the unguaranteed, standalone SOE credit over the “safer-sounding” guaranteed paper.</w:t>
      </w:r>
    </w:p>
    <w:p w14:paraId="36B47495" w14:textId="77777777" w:rsidR="005A3FFE" w:rsidRDefault="00000000">
      <w:pPr>
        <w:spacing w:after="200" w:line="276" w:lineRule="auto"/>
      </w:pPr>
      <w:r>
        <w:rPr>
          <w:rFonts w:ascii="Calibri" w:eastAsia="Calibri" w:hAnsi="Calibri" w:cs="Calibri"/>
          <w:sz w:val="22"/>
          <w:szCs w:val="22"/>
        </w:rPr>
        <w:t>That reframes the role of guarantee quality itself:</w:t>
      </w:r>
    </w:p>
    <w:p w14:paraId="43E9399E" w14:textId="77777777" w:rsidR="005A3FFE" w:rsidRDefault="00000000">
      <w:pPr>
        <w:spacing w:after="200"/>
      </w:pPr>
      <w:r>
        <w:rPr>
          <w:rFonts w:ascii="Calibri" w:eastAsia="Calibri" w:hAnsi="Calibri" w:cs="Calibri"/>
          <w:i/>
          <w:iCs/>
          <w:sz w:val="22"/>
          <w:szCs w:val="22"/>
        </w:rPr>
        <w:t>Guarantee quality always matters, but its sign flips depending on the direction of the credit gap. When the sovereign is the stronger credit, guarantee quality determines how much protection the bondholder receives. When the SOE is the stronger credit, guarantee quality determines how much of that strength the bondholder loses.</w:t>
      </w:r>
    </w:p>
    <w:p w14:paraId="655432CB" w14:textId="77777777" w:rsidR="005A3FFE" w:rsidRDefault="00000000">
      <w:pPr>
        <w:spacing w:after="200" w:line="276" w:lineRule="auto"/>
      </w:pPr>
      <w:r>
        <w:rPr>
          <w:rFonts w:ascii="Calibri" w:eastAsia="Calibri" w:hAnsi="Calibri" w:cs="Calibri"/>
          <w:sz w:val="22"/>
          <w:szCs w:val="22"/>
        </w:rPr>
        <w:t>Before assessing guarantee quality at all, then, the first step is a standalone-versus-guarantor comparison: establishing which of the two (the SOE or the sovereign) is actually the stronger credit. That should be step one of the analysis, not an afterthought.</w:t>
      </w:r>
    </w:p>
    <w:p w14:paraId="6A2D9220" w14:textId="77777777" w:rsidR="005A3FFE" w:rsidRDefault="00000000">
      <w:pPr>
        <w:pStyle w:val="Heading2"/>
        <w:spacing w:before="260" w:after="120"/>
      </w:pPr>
      <w:r>
        <w:rPr>
          <w:rFonts w:ascii="Calibri" w:eastAsia="Calibri" w:hAnsi="Calibri" w:cs="Calibri"/>
          <w:b/>
          <w:bCs/>
          <w:color w:val="2E5395"/>
          <w:sz w:val="24"/>
          <w:szCs w:val="24"/>
        </w:rPr>
        <w:t>The sovereign ceiling and where it creates mispricing</w:t>
      </w:r>
    </w:p>
    <w:p w14:paraId="714BC38B" w14:textId="77777777" w:rsidR="005A3FFE" w:rsidRDefault="00000000">
      <w:pPr>
        <w:spacing w:after="200" w:line="276" w:lineRule="auto"/>
      </w:pPr>
      <w:r>
        <w:rPr>
          <w:rFonts w:ascii="Calibri" w:eastAsia="Calibri" w:hAnsi="Calibri" w:cs="Calibri"/>
          <w:sz w:val="22"/>
          <w:szCs w:val="22"/>
        </w:rPr>
        <w:t>That standalone-versus-guarantor comparison runs into a second, more mechanical obstacle before it can be traded on: rating agencies complicate things further through the sovereign ceiling. A corporate or quasi-sovereign issuer that is fundamentally stronger than its own sovereign typically still has its rating capped at the sovereign level. The rationale is transfer and convertibility risk: the government’s ability to restrict FX conversion or capital outflows applies uniformly to anyone operating in that currency and jurisdiction, independent of any individual entity’s own quality.</w:t>
      </w:r>
    </w:p>
    <w:p w14:paraId="0299973F" w14:textId="77777777" w:rsidR="005A3FFE" w:rsidRDefault="00000000">
      <w:pPr>
        <w:spacing w:after="200" w:line="276" w:lineRule="auto"/>
      </w:pPr>
      <w:r>
        <w:rPr>
          <w:rFonts w:ascii="Calibri" w:eastAsia="Calibri" w:hAnsi="Calibri" w:cs="Calibri"/>
          <w:sz w:val="22"/>
          <w:szCs w:val="22"/>
        </w:rPr>
        <w:t>The ceiling does not mean the underlying credits are equally strong; it means the market’s ability to price that difference is compressed. Where an investor believes an SOE is meaningfully stronger than its sovereign, but the ceiling is holding the spread artificially tight to the sovereign curve, that gap is a value signal rather than something to treat as equivalent risk.</w:t>
      </w:r>
    </w:p>
    <w:p w14:paraId="594C0701" w14:textId="77777777" w:rsidR="005A3FFE" w:rsidRDefault="00000000">
      <w:pPr>
        <w:spacing w:after="200" w:line="276" w:lineRule="auto"/>
      </w:pPr>
      <w:r>
        <w:rPr>
          <w:rFonts w:ascii="Calibri" w:eastAsia="Calibri" w:hAnsi="Calibri" w:cs="Calibri"/>
          <w:sz w:val="22"/>
          <w:szCs w:val="22"/>
        </w:rPr>
        <w:t>The strength of the ceiling itself depends on whose balance sheet ultimately stands behind the guarantee. Same-jurisdiction guarantees (a sovereign guaranteeing its own SOE) are close to mechanically capped, since both sit under the same transfer and convertibility regime. Cross-jurisdiction guarantees (a multilateral guaranteeing a sovereign) should not be capped in the same way, and when they trade as if they are, that gap is itself the signal.</w:t>
      </w:r>
    </w:p>
    <w:p w14:paraId="54B59744" w14:textId="77777777" w:rsidR="005A3FFE" w:rsidRDefault="00000000">
      <w:pPr>
        <w:pStyle w:val="Heading1"/>
        <w:spacing w:before="360" w:after="160"/>
      </w:pPr>
      <w:r>
        <w:rPr>
          <w:rFonts w:ascii="Calibri" w:eastAsia="Calibri" w:hAnsi="Calibri" w:cs="Calibri"/>
          <w:b/>
          <w:bCs/>
          <w:color w:val="1F3864"/>
          <w:sz w:val="26"/>
          <w:szCs w:val="26"/>
        </w:rPr>
        <w:t>Case study one: a mispriced ceiling at a strong deposit-funded quasi-sovereign (illustrative)</w:t>
      </w:r>
    </w:p>
    <w:p w14:paraId="5578FDBE" w14:textId="77777777" w:rsidR="005A3FFE" w:rsidRDefault="00000000">
      <w:pPr>
        <w:spacing w:after="200" w:line="276" w:lineRule="auto"/>
      </w:pPr>
      <w:r>
        <w:rPr>
          <w:rFonts w:ascii="Calibri" w:eastAsia="Calibri" w:hAnsi="Calibri" w:cs="Calibri"/>
          <w:sz w:val="22"/>
          <w:szCs w:val="22"/>
        </w:rPr>
        <w:t xml:space="preserve">This case is constructed rather than drawn from a live traded position: no specific Egyptian bank or quasi-sovereign currently has outstanding, guaranteed dollar paper that fits this profile precisely enough </w:t>
      </w:r>
      <w:r>
        <w:rPr>
          <w:rFonts w:ascii="Calibri" w:eastAsia="Calibri" w:hAnsi="Calibri" w:cs="Calibri"/>
          <w:sz w:val="22"/>
          <w:szCs w:val="22"/>
        </w:rPr>
        <w:lastRenderedPageBreak/>
        <w:t>to name with confidence. It is presented as a hypothetical to illustrate how the ceiling-mispricing argument would apply to a strong, deposit-funded Egyptian quasi-sovereign, should comparable paper be brought to market.</w:t>
      </w:r>
    </w:p>
    <w:p w14:paraId="1DAB4D66" w14:textId="77777777" w:rsidR="005A3FFE" w:rsidRDefault="00000000">
      <w:pPr>
        <w:spacing w:after="200" w:line="276" w:lineRule="auto"/>
      </w:pPr>
      <w:r>
        <w:rPr>
          <w:rFonts w:ascii="Calibri" w:eastAsia="Calibri" w:hAnsi="Calibri" w:cs="Calibri"/>
          <w:sz w:val="22"/>
          <w:szCs w:val="22"/>
        </w:rPr>
        <w:t>A hypothetical issuer of this type – one with a strong deposit franchise, conservative underwriting discipline, and real foreign-currency earnings power – could plausibly carry standalone credit quality above the Egyptian sovereign’s own. Under a sovereign ceiling framework, any guaranteed or closely sovereign-linked paper from such an issuer would likely be compressed toward the sovereign curve regardless of that standalone strength.</w:t>
      </w:r>
    </w:p>
    <w:p w14:paraId="4FC500B2" w14:textId="77777777" w:rsidR="005A3FFE" w:rsidRDefault="00000000">
      <w:pPr>
        <w:spacing w:after="200" w:line="276" w:lineRule="auto"/>
      </w:pPr>
      <w:r>
        <w:rPr>
          <w:rFonts w:ascii="Calibri" w:eastAsia="Calibri" w:hAnsi="Calibri" w:cs="Calibri"/>
          <w:sz w:val="22"/>
          <w:szCs w:val="22"/>
        </w:rPr>
        <w:t>The trade this implies, generalized: where a quasi-sovereign’s hard-currency, deposit-funded strength is materially better than the sovereign’s own credit, and the observed spread to the sovereign curve is unusually tight, that compression can represent mispricing rather than a fair reflection of shared risk. The relevant position would be long the quasi-sovereign credit and flat or underweight the sovereign, on the view that as transfer and convertibility risk eases (FX reserves building, capital controls loosening, IMF reviews on track), the ceiling itself loosens and the quasi-sovereign re-rates independently, tightening faster than the sovereign curve.</w:t>
      </w:r>
    </w:p>
    <w:p w14:paraId="53B880CF" w14:textId="77777777" w:rsidR="005A3FFE" w:rsidRDefault="00000000">
      <w:pPr>
        <w:spacing w:after="200" w:line="276" w:lineRule="auto"/>
      </w:pPr>
      <w:r>
        <w:rPr>
          <w:rFonts w:ascii="Calibri" w:eastAsia="Calibri" w:hAnsi="Calibri" w:cs="Calibri"/>
          <w:sz w:val="22"/>
          <w:szCs w:val="22"/>
        </w:rPr>
        <w:t>Two conditions have to hold for this to work. First, the transfer and convertibility constraint needs to be genuinely easing; otherwise the ceiling stays binding regardless of how strong the underlying fundamentals are. Second, the guarantee or legal structure connecting the entity to the sovereign cannot be so tightly bound (no immunity waiver, purely local law, payment routed through a state agency) that it is legally indistinguishable from a direct sovereign claim. If it is, there is no separation to trade on, no matter how strong the fundamentals.</w:t>
      </w:r>
    </w:p>
    <w:p w14:paraId="68325E5D" w14:textId="77777777" w:rsidR="005A3FFE" w:rsidRDefault="00000000">
      <w:pPr>
        <w:spacing w:after="200" w:line="276" w:lineRule="auto"/>
      </w:pPr>
      <w:r>
        <w:rPr>
          <w:rFonts w:ascii="Calibri" w:eastAsia="Calibri" w:hAnsi="Calibri" w:cs="Calibri"/>
          <w:sz w:val="22"/>
          <w:szCs w:val="22"/>
        </w:rPr>
        <w:t>The full guarantee-quality checklist and poor-to-strong scale used to reach the conclusions below are set out in a companion piece, “Guarantee quality checklist: assessing sovereign and quasi-sovereign backing.” The case study that follows applies that framework directly.</w:t>
      </w:r>
    </w:p>
    <w:p w14:paraId="6F5AF577" w14:textId="77777777" w:rsidR="005A3FFE" w:rsidRDefault="00000000">
      <w:pPr>
        <w:pStyle w:val="Heading1"/>
        <w:spacing w:before="360" w:after="160"/>
      </w:pPr>
      <w:r>
        <w:rPr>
          <w:rFonts w:ascii="Calibri" w:eastAsia="Calibri" w:hAnsi="Calibri" w:cs="Calibri"/>
          <w:b/>
          <w:bCs/>
          <w:color w:val="1F3864"/>
          <w:sz w:val="26"/>
          <w:szCs w:val="26"/>
        </w:rPr>
        <w:t>Case study two: the reverse case in Egypt’s AfDB-guaranteed samurai bond</w:t>
      </w:r>
    </w:p>
    <w:p w14:paraId="0F87D4B6" w14:textId="77777777" w:rsidR="005A3FFE" w:rsidRDefault="00000000">
      <w:pPr>
        <w:spacing w:after="200" w:line="276" w:lineRule="auto"/>
      </w:pPr>
      <w:r>
        <w:rPr>
          <w:rFonts w:ascii="Calibri" w:eastAsia="Calibri" w:hAnsi="Calibri" w:cs="Calibri"/>
          <w:sz w:val="22"/>
          <w:szCs w:val="22"/>
        </w:rPr>
        <w:t>Egypt’s AfDB-guaranteed sustainability samurai bond, issued in 2026, illustrates the same framework running in the opposite direction from the hypothetical case above. Here, the guarantor (the African Development Bank, rated AAA) is far stronger than the issuer (the Egyptian sovereign, which sits deep in single-B territory). Rather than a strong entity being capped down by a weak sovereign, this is a weak sovereign being lifted by a strong guarantor: the resulting tranches are rated AA+ and AA.</w:t>
      </w:r>
    </w:p>
    <w:p w14:paraId="68F814F8" w14:textId="77777777" w:rsidR="005A3FFE" w:rsidRDefault="00000000">
      <w:pPr>
        <w:spacing w:after="200" w:line="276" w:lineRule="auto"/>
      </w:pPr>
      <w:r>
        <w:rPr>
          <w:rFonts w:ascii="Calibri" w:eastAsia="Calibri" w:hAnsi="Calibri" w:cs="Calibri"/>
          <w:sz w:val="22"/>
          <w:szCs w:val="22"/>
        </w:rPr>
        <w:t xml:space="preserve">The relative value question here is different from the ceiling-mispricing case above. Rather than asking whether the ceiling is compressing a spread too tightly, the question is whether the market has actually converged pricing toward the credit enhancement the guarantee provides. Comparing the guaranteed samurai bond’s spread (to JGBs, or to AfDB’s own funding curve) against the unguaranteed Egypt dollar eurobond curve, normalized for currency and tenor, shows how much of the theoretical AA+/AA uplift the market has actually priced in. Where the guaranteed paper does not trade near AA levels despite its rating (whether due to JPY market technicals, illiquidity, or unfamiliarity with the guarantee mechanic </w:t>
      </w:r>
      <w:r>
        <w:rPr>
          <w:rFonts w:ascii="Calibri" w:eastAsia="Calibri" w:hAnsi="Calibri" w:cs="Calibri"/>
          <w:sz w:val="22"/>
          <w:szCs w:val="22"/>
        </w:rPr>
        <w:lastRenderedPageBreak/>
        <w:t>among typical EM buyers), that gap represents unrealized value, provided the checklist above confirms the rating uplift is genuinely credible rather than a rating-agency artifact.</w:t>
      </w:r>
    </w:p>
    <w:p w14:paraId="1049598B" w14:textId="77777777" w:rsidR="005A3FFE" w:rsidRDefault="00000000">
      <w:pPr>
        <w:spacing w:after="200" w:line="276" w:lineRule="auto"/>
      </w:pPr>
      <w:r>
        <w:rPr>
          <w:rFonts w:ascii="Calibri" w:eastAsia="Calibri" w:hAnsi="Calibri" w:cs="Calibri"/>
          <w:sz w:val="22"/>
          <w:szCs w:val="22"/>
        </w:rPr>
        <w:t>The caveat from the checklist applies directly here: because this is a partial credit guarantee, not a full one, the correct benchmark is not a clean AA spread. Probability of default remains anchored to Egypt’s own credit profile; what the guarantee compresses is loss given default and near-term payment risk, not the sovereign’s underlying solvency. A defensible fair-value spread should reflect Egypt’s own default probability combined with a materially improved recovery assumption, landing meaningfully closer to Egypt’s own curve than to a clean AA benchmark. The mispricing worth acting on, if it exists, is the gap between the actual market spread and that properly modelled fair value, not the gap to a naive AA comparison, which would overstate the opportunity.</w:t>
      </w:r>
    </w:p>
    <w:p w14:paraId="1049598C" w14:textId="77777777" w:rsidR="005A3FFE" w:rsidRDefault="00000000">
      <w:pPr>
        <w:spacing w:after="200" w:line="276" w:lineRule="auto"/>
      </w:pPr>
      <w:r>
        <w:rPr>
          <w:rFonts w:ascii="Calibri" w:eastAsia="Calibri" w:hAnsi="Calibri" w:cs="Calibri"/>
          <w:sz w:val="22"/>
          <w:szCs w:val="22"/>
        </w:rPr>
        <w:t>Running that fair-value spread and sizing the resulting trade is beyond the scope of this framework piece. A dedicated relative value note, quantifying the samurai bond’s spread against the JGB and AfDB funding curves and setting out an entry, target, and stop against Egypt’s own eurobond curve, is forthcoming.</w:t>
      </w:r>
    </w:p>
    <w:p w14:paraId="68FCEF1A" w14:textId="77777777" w:rsidR="005A3FFE" w:rsidRDefault="00000000">
      <w:pPr>
        <w:pStyle w:val="Heading1"/>
        <w:spacing w:before="360" w:after="160"/>
      </w:pPr>
      <w:r>
        <w:rPr>
          <w:rFonts w:ascii="Calibri" w:eastAsia="Calibri" w:hAnsi="Calibri" w:cs="Calibri"/>
          <w:b/>
          <w:bCs/>
          <w:color w:val="1F3864"/>
          <w:sz w:val="26"/>
          <w:szCs w:val="26"/>
        </w:rPr>
        <w:t>Closing</w:t>
      </w:r>
    </w:p>
    <w:p w14:paraId="4A6DAED5" w14:textId="279BC418" w:rsidR="005A3FFE" w:rsidRDefault="00000000">
      <w:pPr>
        <w:spacing w:after="200" w:line="276" w:lineRule="auto"/>
      </w:pPr>
      <w:r>
        <w:rPr>
          <w:rFonts w:ascii="Calibri" w:eastAsia="Calibri" w:hAnsi="Calibri" w:cs="Calibri"/>
          <w:sz w:val="22"/>
          <w:szCs w:val="22"/>
        </w:rPr>
        <w:t>Guarantees do not eliminate credit risk; they relocate it, and the value of that relocation depends on direction, mechanics, and how completely the guarantee actually substitutes one credit for another. Egypt’s evolving debt strategy (increasingly leaning on guaranteed and multilateral-backed structures such as this samurai bond, alongside ongoing sukuk and IMF-adjacent issuance) makes this a live and growing part of the opportunity set, not a theoretical corner case. The framework attached is intended as a repeatable tool for that work: establish direction first, assess guarantee quality against the checklist, and price the result against a properly modelled benchmark rather than the rating alone.</w:t>
      </w:r>
    </w:p>
    <w:sectPr w:rsidR="005A3FFE">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A924EF3"/>
    <w:multiLevelType w:val="hybridMultilevel"/>
    <w:tmpl w:val="1E3677CE"/>
    <w:lvl w:ilvl="0" w:tplc="80E68AA6">
      <w:start w:val="1"/>
      <w:numFmt w:val="bullet"/>
      <w:lvlText w:val="•"/>
      <w:lvlJc w:val="left"/>
      <w:pPr>
        <w:ind w:left="504" w:hanging="288"/>
      </w:pPr>
    </w:lvl>
    <w:lvl w:ilvl="1" w:tplc="8B8267A6">
      <w:start w:val="1"/>
      <w:numFmt w:val="bullet"/>
      <w:lvlText w:val="◦"/>
      <w:lvlJc w:val="left"/>
      <w:pPr>
        <w:ind w:left="1008" w:hanging="288"/>
      </w:pPr>
    </w:lvl>
    <w:lvl w:ilvl="2" w:tplc="D458C7FC">
      <w:numFmt w:val="decimal"/>
      <w:lvlText w:val=""/>
      <w:lvlJc w:val="left"/>
    </w:lvl>
    <w:lvl w:ilvl="3" w:tplc="A162C944">
      <w:numFmt w:val="decimal"/>
      <w:lvlText w:val=""/>
      <w:lvlJc w:val="left"/>
    </w:lvl>
    <w:lvl w:ilvl="4" w:tplc="D49CF21E">
      <w:numFmt w:val="decimal"/>
      <w:lvlText w:val=""/>
      <w:lvlJc w:val="left"/>
    </w:lvl>
    <w:lvl w:ilvl="5" w:tplc="28C43AEC">
      <w:numFmt w:val="decimal"/>
      <w:lvlText w:val=""/>
      <w:lvlJc w:val="left"/>
    </w:lvl>
    <w:lvl w:ilvl="6" w:tplc="E8964DFA">
      <w:numFmt w:val="decimal"/>
      <w:lvlText w:val=""/>
      <w:lvlJc w:val="left"/>
    </w:lvl>
    <w:lvl w:ilvl="7" w:tplc="D8CA4544">
      <w:numFmt w:val="decimal"/>
      <w:lvlText w:val=""/>
      <w:lvlJc w:val="left"/>
    </w:lvl>
    <w:lvl w:ilvl="8" w:tplc="902A4232">
      <w:numFmt w:val="decimal"/>
      <w:lvlText w:val=""/>
      <w:lvlJc w:val="left"/>
    </w:lvl>
  </w:abstractNum>
  <w:abstractNum w:abstractNumId="1" w15:restartNumberingAfterBreak="0">
    <w:nsid w:val="6CF67944"/>
    <w:multiLevelType w:val="hybridMultilevel"/>
    <w:tmpl w:val="FD22B726"/>
    <w:lvl w:ilvl="0" w:tplc="DCEE1756">
      <w:start w:val="1"/>
      <w:numFmt w:val="bullet"/>
      <w:lvlText w:val="●"/>
      <w:lvlJc w:val="left"/>
      <w:pPr>
        <w:ind w:left="720" w:hanging="360"/>
      </w:pPr>
    </w:lvl>
    <w:lvl w:ilvl="1" w:tplc="A322B9EE">
      <w:start w:val="1"/>
      <w:numFmt w:val="bullet"/>
      <w:lvlText w:val="○"/>
      <w:lvlJc w:val="left"/>
      <w:pPr>
        <w:ind w:left="1440" w:hanging="360"/>
      </w:pPr>
    </w:lvl>
    <w:lvl w:ilvl="2" w:tplc="715692B8">
      <w:start w:val="1"/>
      <w:numFmt w:val="bullet"/>
      <w:lvlText w:val="■"/>
      <w:lvlJc w:val="left"/>
      <w:pPr>
        <w:ind w:left="2160" w:hanging="360"/>
      </w:pPr>
    </w:lvl>
    <w:lvl w:ilvl="3" w:tplc="3EF463D8">
      <w:start w:val="1"/>
      <w:numFmt w:val="bullet"/>
      <w:lvlText w:val="●"/>
      <w:lvlJc w:val="left"/>
      <w:pPr>
        <w:ind w:left="2880" w:hanging="360"/>
      </w:pPr>
    </w:lvl>
    <w:lvl w:ilvl="4" w:tplc="AEB26012">
      <w:start w:val="1"/>
      <w:numFmt w:val="bullet"/>
      <w:lvlText w:val="○"/>
      <w:lvlJc w:val="left"/>
      <w:pPr>
        <w:ind w:left="3600" w:hanging="360"/>
      </w:pPr>
    </w:lvl>
    <w:lvl w:ilvl="5" w:tplc="1048F414">
      <w:start w:val="1"/>
      <w:numFmt w:val="bullet"/>
      <w:lvlText w:val="■"/>
      <w:lvlJc w:val="left"/>
      <w:pPr>
        <w:ind w:left="4320" w:hanging="360"/>
      </w:pPr>
    </w:lvl>
    <w:lvl w:ilvl="6" w:tplc="33E4FC18">
      <w:start w:val="1"/>
      <w:numFmt w:val="bullet"/>
      <w:lvlText w:val="●"/>
      <w:lvlJc w:val="left"/>
      <w:pPr>
        <w:ind w:left="5040" w:hanging="360"/>
      </w:pPr>
    </w:lvl>
    <w:lvl w:ilvl="7" w:tplc="D1DC728E">
      <w:start w:val="1"/>
      <w:numFmt w:val="bullet"/>
      <w:lvlText w:val="●"/>
      <w:lvlJc w:val="left"/>
      <w:pPr>
        <w:ind w:left="5760" w:hanging="360"/>
      </w:pPr>
    </w:lvl>
    <w:lvl w:ilvl="8" w:tplc="49BC3C38">
      <w:start w:val="1"/>
      <w:numFmt w:val="bullet"/>
      <w:lvlText w:val="●"/>
      <w:lvlJc w:val="left"/>
      <w:pPr>
        <w:ind w:left="6480" w:hanging="360"/>
      </w:pPr>
    </w:lvl>
  </w:abstractNum>
  <w:num w:numId="1" w16cid:durableId="893471299">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4"/>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3FFE"/>
    <w:rsid w:val="00122021"/>
    <w:rsid w:val="005A3FFE"/>
    <w:rsid w:val="00624A66"/>
    <w:rsid w:val="00D007C5"/>
    <w:rsid w:val="00E3724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1CA4A2E3"/>
  <w15:docId w15:val="{3DC0D87A-2D8C-6D49-BDA0-270707B05B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1789</Words>
  <Characters>10198</Characters>
  <Application>Microsoft Office Word</Application>
  <DocSecurity>0</DocSecurity>
  <Lines>84</Lines>
  <Paragraphs>23</Paragraphs>
  <ScaleCrop>false</ScaleCrop>
  <Company/>
  <LinksUpToDate>false</LinksUpToDate>
  <CharactersWithSpaces>11964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Ashraf8,S (pgt)</cp:lastModifiedBy>
  <cp:revision>2</cp:revision>
  <dcterms:created xsi:type="dcterms:W3CDTF">2026-07-08T12:27:00Z</dcterms:created>
  <dcterms:modified xsi:type="dcterms:W3CDTF">2026-07-08T12:27:00Z</dcterms:modified>
</cp:coreProperties>
</file>