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37D1B" w14:textId="77777777" w:rsidR="00A73BBA" w:rsidRDefault="00000000">
      <w:pPr>
        <w:spacing w:after="60"/>
      </w:pPr>
      <w:r>
        <w:rPr>
          <w:rFonts w:ascii="Calibri" w:eastAsia="Calibri" w:hAnsi="Calibri" w:cs="Calibri"/>
          <w:b/>
          <w:bCs/>
          <w:color w:val="1F3864"/>
          <w:sz w:val="32"/>
          <w:szCs w:val="32"/>
        </w:rPr>
        <w:t>Guarantee quality checklist: assessing sovereign and quasi-sovereign backing</w:t>
      </w:r>
    </w:p>
    <w:p w14:paraId="70934AF9" w14:textId="77777777" w:rsidR="00A73BBA" w:rsidRDefault="00000000">
      <w:pPr>
        <w:spacing w:after="300"/>
      </w:pPr>
      <w:r>
        <w:rPr>
          <w:rFonts w:ascii="Calibri" w:eastAsia="Calibri" w:hAnsi="Calibri" w:cs="Calibri"/>
          <w:i/>
          <w:iCs/>
          <w:color w:val="555555"/>
          <w:sz w:val="24"/>
          <w:szCs w:val="24"/>
        </w:rPr>
        <w:t>A companion reference to “When does a guarantee actually transfer sovereign risk?”</w:t>
      </w:r>
    </w:p>
    <w:p w14:paraId="5DB02E50" w14:textId="77777777" w:rsidR="00A73BBA" w:rsidRDefault="00000000">
      <w:pPr>
        <w:spacing w:after="200" w:line="276" w:lineRule="auto"/>
      </w:pPr>
      <w:r>
        <w:rPr>
          <w:rFonts w:ascii="Calibri" w:eastAsia="Calibri" w:hAnsi="Calibri" w:cs="Calibri"/>
          <w:sz w:val="22"/>
          <w:szCs w:val="22"/>
        </w:rPr>
        <w:t xml:space="preserve">A rating or a headline “government guaranteed” label tells you almost nothing on its own. This checklist sets out what </w:t>
      </w:r>
      <w:proofErr w:type="gramStart"/>
      <w:r>
        <w:rPr>
          <w:rFonts w:ascii="Calibri" w:eastAsia="Calibri" w:hAnsi="Calibri" w:cs="Calibri"/>
          <w:sz w:val="22"/>
          <w:szCs w:val="22"/>
        </w:rPr>
        <w:t>actually determines</w:t>
      </w:r>
      <w:proofErr w:type="gramEnd"/>
      <w:r>
        <w:rPr>
          <w:rFonts w:ascii="Calibri" w:eastAsia="Calibri" w:hAnsi="Calibri" w:cs="Calibri"/>
          <w:sz w:val="22"/>
          <w:szCs w:val="22"/>
        </w:rPr>
        <w:t xml:space="preserve"> whether a guarantee transfers meaningful credit protection to a </w:t>
      </w:r>
      <w:proofErr w:type="gramStart"/>
      <w:r>
        <w:rPr>
          <w:rFonts w:ascii="Calibri" w:eastAsia="Calibri" w:hAnsi="Calibri" w:cs="Calibri"/>
          <w:sz w:val="22"/>
          <w:szCs w:val="22"/>
        </w:rPr>
        <w:t>bondholder, or</w:t>
      </w:r>
      <w:proofErr w:type="gramEnd"/>
      <w:r>
        <w:rPr>
          <w:rFonts w:ascii="Calibri" w:eastAsia="Calibri" w:hAnsi="Calibri" w:cs="Calibri"/>
          <w:sz w:val="22"/>
          <w:szCs w:val="22"/>
        </w:rPr>
        <w:t xml:space="preserve"> just repackages the same risk with a reassuring label attached, followed by a poor-to-strong scale for placing a given instrument on that spectrum. It is built to be used directly against a specific bond's </w:t>
      </w:r>
      <w:proofErr w:type="gramStart"/>
      <w:r>
        <w:rPr>
          <w:rFonts w:ascii="Calibri" w:eastAsia="Calibri" w:hAnsi="Calibri" w:cs="Calibri"/>
          <w:sz w:val="22"/>
          <w:szCs w:val="22"/>
        </w:rPr>
        <w:t>documentation, and</w:t>
      </w:r>
      <w:proofErr w:type="gramEnd"/>
      <w:r>
        <w:rPr>
          <w:rFonts w:ascii="Calibri" w:eastAsia="Calibri" w:hAnsi="Calibri" w:cs="Calibri"/>
          <w:sz w:val="22"/>
          <w:szCs w:val="22"/>
        </w:rPr>
        <w:t xml:space="preserve"> is referenced throughout the companion piece on pricing Egyptian quasi-sovereign issuance.</w:t>
      </w:r>
    </w:p>
    <w:p w14:paraId="4AED96A4" w14:textId="77777777" w:rsidR="00A73BBA" w:rsidRDefault="00000000">
      <w:pPr>
        <w:pStyle w:val="Heading1"/>
        <w:spacing w:before="360" w:after="160"/>
      </w:pPr>
      <w:r>
        <w:rPr>
          <w:rFonts w:ascii="Calibri" w:eastAsia="Calibri" w:hAnsi="Calibri" w:cs="Calibri"/>
          <w:b/>
          <w:bCs/>
          <w:color w:val="1F3864"/>
          <w:sz w:val="26"/>
          <w:szCs w:val="26"/>
        </w:rPr>
        <w:t>The checklist: what determines guarantee quality</w:t>
      </w:r>
    </w:p>
    <w:p w14:paraId="17B8FAC8" w14:textId="77777777" w:rsidR="00A73BBA" w:rsidRDefault="00000000">
      <w:pPr>
        <w:spacing w:after="200" w:line="276" w:lineRule="auto"/>
      </w:pPr>
      <w:r>
        <w:rPr>
          <w:rFonts w:ascii="Calibri" w:eastAsia="Calibri" w:hAnsi="Calibri" w:cs="Calibri"/>
          <w:sz w:val="22"/>
          <w:szCs w:val="22"/>
        </w:rPr>
        <w:t xml:space="preserve">A rating or a headline “government guaranteed” label tells you almost nothing on its own. The questions below are what </w:t>
      </w:r>
      <w:proofErr w:type="gramStart"/>
      <w:r>
        <w:rPr>
          <w:rFonts w:ascii="Calibri" w:eastAsia="Calibri" w:hAnsi="Calibri" w:cs="Calibri"/>
          <w:sz w:val="22"/>
          <w:szCs w:val="22"/>
        </w:rPr>
        <w:t>actually determine</w:t>
      </w:r>
      <w:proofErr w:type="gramEnd"/>
      <w:r>
        <w:rPr>
          <w:rFonts w:ascii="Calibri" w:eastAsia="Calibri" w:hAnsi="Calibri" w:cs="Calibri"/>
          <w:sz w:val="22"/>
          <w:szCs w:val="22"/>
        </w:rPr>
        <w:t xml:space="preserve"> whether a guarantee transfers meaningful credit protection to a </w:t>
      </w:r>
      <w:proofErr w:type="gramStart"/>
      <w:r>
        <w:rPr>
          <w:rFonts w:ascii="Calibri" w:eastAsia="Calibri" w:hAnsi="Calibri" w:cs="Calibri"/>
          <w:sz w:val="22"/>
          <w:szCs w:val="22"/>
        </w:rPr>
        <w:t>bondholder, or</w:t>
      </w:r>
      <w:proofErr w:type="gramEnd"/>
      <w:r>
        <w:rPr>
          <w:rFonts w:ascii="Calibri" w:eastAsia="Calibri" w:hAnsi="Calibri" w:cs="Calibri"/>
          <w:sz w:val="22"/>
          <w:szCs w:val="22"/>
        </w:rPr>
        <w:t xml:space="preserve"> just repackages the same risk with a reassuring label attached.</w:t>
      </w:r>
    </w:p>
    <w:p w14:paraId="2E797F08" w14:textId="77777777" w:rsidR="00A73BBA" w:rsidRDefault="00000000">
      <w:pPr>
        <w:pStyle w:val="Heading2"/>
        <w:spacing w:before="260" w:after="120"/>
      </w:pPr>
      <w:r>
        <w:rPr>
          <w:rFonts w:ascii="Calibri" w:eastAsia="Calibri" w:hAnsi="Calibri" w:cs="Calibri"/>
          <w:b/>
          <w:bCs/>
          <w:color w:val="2E5395"/>
          <w:sz w:val="24"/>
          <w:szCs w:val="24"/>
        </w:rPr>
        <w:t>1. Explicit vs implicit guarantee</w:t>
      </w:r>
    </w:p>
    <w:p w14:paraId="060B2E7A" w14:textId="77777777" w:rsidR="00A73BBA" w:rsidRDefault="00000000">
      <w:pPr>
        <w:spacing w:after="120"/>
      </w:pPr>
      <w:r>
        <w:rPr>
          <w:rFonts w:ascii="Calibri" w:eastAsia="Calibri" w:hAnsi="Calibri" w:cs="Calibri"/>
          <w:b/>
          <w:bCs/>
          <w:sz w:val="22"/>
          <w:szCs w:val="22"/>
        </w:rPr>
        <w:t>What to check</w:t>
      </w:r>
    </w:p>
    <w:p w14:paraId="7602A641" w14:textId="77777777" w:rsidR="00A73BBA" w:rsidRDefault="00000000">
      <w:pPr>
        <w:pStyle w:val="ListParagraph"/>
        <w:numPr>
          <w:ilvl w:val="0"/>
          <w:numId w:val="2"/>
        </w:numPr>
        <w:spacing w:after="100" w:line="276" w:lineRule="auto"/>
      </w:pPr>
      <w:r>
        <w:rPr>
          <w:rFonts w:ascii="Calibri" w:eastAsia="Calibri" w:hAnsi="Calibri" w:cs="Calibri"/>
          <w:sz w:val="22"/>
          <w:szCs w:val="22"/>
        </w:rPr>
        <w:t>Is there a signed, legally binding guarantee instrument attached to this specific bond, or is “government backing” inferred from state ownership, historical bailout precedent, or political rhetoric?</w:t>
      </w:r>
    </w:p>
    <w:p w14:paraId="5EB104B2"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If explicit: is it a standalone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agreement, or a clause embedded within the bond’s own terms and conditions? Standalone instruments are generally cleaner and more enforceable.</w:t>
      </w:r>
    </w:p>
    <w:p w14:paraId="480E0EE2" w14:textId="77777777" w:rsidR="00A73BBA" w:rsidRDefault="00000000">
      <w:pPr>
        <w:pStyle w:val="ListParagraph"/>
        <w:numPr>
          <w:ilvl w:val="0"/>
          <w:numId w:val="2"/>
        </w:numPr>
        <w:spacing w:after="100" w:line="276" w:lineRule="auto"/>
      </w:pPr>
      <w:r>
        <w:rPr>
          <w:rFonts w:ascii="Calibri" w:eastAsia="Calibri" w:hAnsi="Calibri" w:cs="Calibri"/>
          <w:sz w:val="22"/>
          <w:szCs w:val="22"/>
        </w:rPr>
        <w:t>If implicit: what is the entity’s actual track record of extraordinary government support? Has the government intervened before for this issuer, or for comparable state-owned entities in the same sector?</w:t>
      </w:r>
    </w:p>
    <w:p w14:paraId="5E5DD55B" w14:textId="77777777" w:rsidR="00A73BBA" w:rsidRDefault="00000000">
      <w:pPr>
        <w:pStyle w:val="ListParagraph"/>
        <w:numPr>
          <w:ilvl w:val="0"/>
          <w:numId w:val="2"/>
        </w:numPr>
        <w:spacing w:after="100" w:line="276" w:lineRule="auto"/>
      </w:pPr>
      <w:r>
        <w:rPr>
          <w:rFonts w:ascii="Calibri" w:eastAsia="Calibri" w:hAnsi="Calibri" w:cs="Calibri"/>
          <w:sz w:val="22"/>
          <w:szCs w:val="22"/>
        </w:rPr>
        <w:t>Watch for comfort letters: a soft, non-binding middle ground some governments issue that reads like support but creates no enforceable payment obligation. These get mistaken for real guarantees constantly.</w:t>
      </w:r>
    </w:p>
    <w:p w14:paraId="50CEFB6B" w14:textId="77777777" w:rsidR="00A73BBA" w:rsidRDefault="00000000">
      <w:pPr>
        <w:spacing w:after="200" w:line="276" w:lineRule="auto"/>
      </w:pPr>
      <w:r>
        <w:rPr>
          <w:rFonts w:ascii="Calibri" w:eastAsia="Calibri" w:hAnsi="Calibri" w:cs="Calibri"/>
          <w:b/>
          <w:bCs/>
          <w:sz w:val="22"/>
          <w:szCs w:val="22"/>
        </w:rPr>
        <w:t xml:space="preserve">Why it matters: </w:t>
      </w:r>
      <w:r>
        <w:rPr>
          <w:rFonts w:ascii="Calibri" w:eastAsia="Calibri" w:hAnsi="Calibri" w:cs="Calibri"/>
          <w:sz w:val="22"/>
          <w:szCs w:val="22"/>
        </w:rPr>
        <w:t>Implicit support is a political expectation, not a legal claim. It can evaporate exactly when it’s needed most, in a genuine fiscal crisis, when the government has the least capacity and the least incentive to make good on an obligation it never formally signed.</w:t>
      </w:r>
    </w:p>
    <w:p w14:paraId="2F901F46" w14:textId="77777777" w:rsidR="00A73BBA" w:rsidRDefault="00000000">
      <w:pPr>
        <w:spacing w:after="200" w:line="276" w:lineRule="auto"/>
      </w:pPr>
      <w:r>
        <w:rPr>
          <w:rFonts w:ascii="Calibri" w:eastAsia="Calibri" w:hAnsi="Calibri" w:cs="Calibri"/>
          <w:b/>
          <w:bCs/>
          <w:i/>
          <w:iCs/>
          <w:sz w:val="22"/>
          <w:szCs w:val="22"/>
        </w:rPr>
        <w:t xml:space="preserve">Egypt example (poor tier): </w:t>
      </w:r>
      <w:r>
        <w:rPr>
          <w:rFonts w:ascii="Calibri" w:eastAsia="Calibri" w:hAnsi="Calibri" w:cs="Calibri"/>
          <w:i/>
          <w:iCs/>
          <w:sz w:val="22"/>
          <w:szCs w:val="22"/>
        </w:rPr>
        <w:t>Egyptian General Petroleum Corporation’s (EGPC) arrears to international oil companies illustrate implicit backing failing under stress. There is no bond structure or formal guarantee instrument here, but it is the cleanest real-world case of state ownership being assumed to imply support, with no contractual claim giving creditors direct recourse to the sovereign when payment discipline slipped.</w:t>
      </w:r>
    </w:p>
    <w:p w14:paraId="470C8D62" w14:textId="77777777" w:rsidR="00A73BBA" w:rsidRDefault="00000000">
      <w:pPr>
        <w:pStyle w:val="Heading2"/>
        <w:spacing w:before="260" w:after="120"/>
      </w:pPr>
      <w:r>
        <w:rPr>
          <w:rFonts w:ascii="Calibri" w:eastAsia="Calibri" w:hAnsi="Calibri" w:cs="Calibri"/>
          <w:b/>
          <w:bCs/>
          <w:color w:val="2E5395"/>
          <w:sz w:val="24"/>
          <w:szCs w:val="24"/>
        </w:rPr>
        <w:lastRenderedPageBreak/>
        <w:t>2. Governing law</w:t>
      </w:r>
    </w:p>
    <w:p w14:paraId="4798B0FB" w14:textId="77777777" w:rsidR="00A73BBA" w:rsidRDefault="00000000">
      <w:pPr>
        <w:spacing w:after="120"/>
      </w:pPr>
      <w:r>
        <w:rPr>
          <w:rFonts w:ascii="Calibri" w:eastAsia="Calibri" w:hAnsi="Calibri" w:cs="Calibri"/>
          <w:b/>
          <w:bCs/>
          <w:sz w:val="22"/>
          <w:szCs w:val="22"/>
        </w:rPr>
        <w:t>What to check</w:t>
      </w:r>
    </w:p>
    <w:p w14:paraId="47CA78DB" w14:textId="77777777" w:rsidR="00A73BBA" w:rsidRDefault="00000000">
      <w:pPr>
        <w:pStyle w:val="ListParagraph"/>
        <w:numPr>
          <w:ilvl w:val="0"/>
          <w:numId w:val="2"/>
        </w:numPr>
        <w:spacing w:after="100" w:line="276" w:lineRule="auto"/>
      </w:pPr>
      <w:r>
        <w:rPr>
          <w:rFonts w:ascii="Calibri" w:eastAsia="Calibri" w:hAnsi="Calibri" w:cs="Calibri"/>
          <w:sz w:val="22"/>
          <w:szCs w:val="22"/>
        </w:rPr>
        <w:t>Local law vs foreign law (typically English or New York law).</w:t>
      </w:r>
    </w:p>
    <w:p w14:paraId="3D8B4413" w14:textId="77777777" w:rsidR="00A73BBA" w:rsidRDefault="00000000">
      <w:pPr>
        <w:pStyle w:val="ListParagraph"/>
        <w:numPr>
          <w:ilvl w:val="0"/>
          <w:numId w:val="2"/>
        </w:numPr>
        <w:spacing w:after="100" w:line="276" w:lineRule="auto"/>
      </w:pPr>
      <w:r>
        <w:rPr>
          <w:rFonts w:ascii="Calibri" w:eastAsia="Calibri" w:hAnsi="Calibri" w:cs="Calibri"/>
          <w:sz w:val="22"/>
          <w:szCs w:val="22"/>
        </w:rPr>
        <w:t>Under local law, the guarantor government can legislate around its own obligations: restructuring laws, payment moratoria, or capital controls can be passed unilaterally and applied retroactively to domestically governed instruments. The guarantor is also the legislator.</w:t>
      </w:r>
    </w:p>
    <w:p w14:paraId="22BF5091" w14:textId="77777777" w:rsidR="00A73BBA" w:rsidRDefault="00000000">
      <w:pPr>
        <w:pStyle w:val="ListParagraph"/>
        <w:numPr>
          <w:ilvl w:val="0"/>
          <w:numId w:val="2"/>
        </w:numPr>
        <w:spacing w:after="100" w:line="276" w:lineRule="auto"/>
      </w:pPr>
      <w:r>
        <w:rPr>
          <w:rFonts w:ascii="Calibri" w:eastAsia="Calibri" w:hAnsi="Calibri" w:cs="Calibri"/>
          <w:sz w:val="22"/>
          <w:szCs w:val="22"/>
        </w:rPr>
        <w:t>Under foreign law, the government has contractually submitted to an external legal system it cannot unilaterally rewrite. Disputes are resolved in foreign courts or through arbitration (LCIA, ICC, ICSID), not domestic courts that are ultimately arms of the same government being sued.</w:t>
      </w:r>
    </w:p>
    <w:p w14:paraId="20827EFA" w14:textId="77777777" w:rsidR="00A73BBA" w:rsidRDefault="00000000">
      <w:pPr>
        <w:pStyle w:val="ListParagraph"/>
        <w:numPr>
          <w:ilvl w:val="0"/>
          <w:numId w:val="2"/>
        </w:numPr>
        <w:spacing w:after="100" w:line="276" w:lineRule="auto"/>
      </w:pPr>
      <w:r>
        <w:rPr>
          <w:rFonts w:ascii="Calibri" w:eastAsia="Calibri" w:hAnsi="Calibri" w:cs="Calibri"/>
          <w:sz w:val="22"/>
          <w:szCs w:val="22"/>
        </w:rPr>
        <w:t>Identify the specific jurisdiction and dispute resolution mechanism named in the documentation. English law with London arbitration is materially stronger than English law with a domestic-court enforcement fallback.</w:t>
      </w:r>
    </w:p>
    <w:p w14:paraId="494E0E6B" w14:textId="77777777" w:rsidR="00A73BBA" w:rsidRDefault="00000000">
      <w:pPr>
        <w:spacing w:after="120"/>
      </w:pPr>
      <w:r>
        <w:rPr>
          <w:rFonts w:ascii="Calibri" w:eastAsia="Calibri" w:hAnsi="Calibri" w:cs="Calibri"/>
          <w:b/>
          <w:bCs/>
          <w:sz w:val="22"/>
          <w:szCs w:val="22"/>
        </w:rPr>
        <w:t>Guarantee of payment vs guarantee of collection: a critical sub-distinction inside governing law</w:t>
      </w:r>
    </w:p>
    <w:p w14:paraId="528BF14B" w14:textId="77777777" w:rsidR="00A73BBA" w:rsidRDefault="00000000">
      <w:pPr>
        <w:pStyle w:val="ListParagraph"/>
        <w:numPr>
          <w:ilvl w:val="0"/>
          <w:numId w:val="2"/>
        </w:numPr>
        <w:spacing w:after="100" w:line="276" w:lineRule="auto"/>
      </w:pPr>
      <w:r>
        <w:rPr>
          <w:rFonts w:ascii="Calibri" w:eastAsia="Calibri" w:hAnsi="Calibri" w:cs="Calibri"/>
          <w:sz w:val="22"/>
          <w:szCs w:val="22"/>
        </w:rPr>
        <w:t>Guarantee of payment: the creditor can call on the guarantor immediately upon issuer default, with no need to first pursue the issuer through legal process.</w:t>
      </w:r>
    </w:p>
    <w:p w14:paraId="5DB49C97" w14:textId="77777777" w:rsidR="00A73BBA" w:rsidRDefault="00000000">
      <w:pPr>
        <w:pStyle w:val="ListParagraph"/>
        <w:numPr>
          <w:ilvl w:val="0"/>
          <w:numId w:val="2"/>
        </w:numPr>
        <w:spacing w:after="100" w:line="276" w:lineRule="auto"/>
      </w:pPr>
      <w:r>
        <w:rPr>
          <w:rFonts w:ascii="Calibri" w:eastAsia="Calibri" w:hAnsi="Calibri" w:cs="Calibri"/>
          <w:sz w:val="22"/>
          <w:szCs w:val="22"/>
        </w:rPr>
        <w:t>Guarantee of collection: the creditor must first exhaust remedies against the issuer (pursue default or insolvency proceedings) before the guarantor is obligated to pay.</w:t>
      </w:r>
    </w:p>
    <w:p w14:paraId="74E83E98" w14:textId="77777777" w:rsidR="00A73BBA" w:rsidRDefault="00000000">
      <w:pPr>
        <w:pStyle w:val="ListParagraph"/>
        <w:numPr>
          <w:ilvl w:val="0"/>
          <w:numId w:val="2"/>
        </w:numPr>
        <w:spacing w:after="100" w:line="276" w:lineRule="auto"/>
      </w:pPr>
      <w:r>
        <w:rPr>
          <w:rFonts w:ascii="Calibri" w:eastAsia="Calibri" w:hAnsi="Calibri" w:cs="Calibri"/>
          <w:sz w:val="22"/>
          <w:szCs w:val="22"/>
        </w:rPr>
        <w:t>Related: check whether the enforcement trigger is automatic on a defined event, or only available after litigation and a legal judgment has been obtained. An automatic trigger is materially faster and more reliable than one that requires the creditor to win a case first.</w:t>
      </w:r>
    </w:p>
    <w:p w14:paraId="0CB64316" w14:textId="77777777" w:rsidR="00A73BBA" w:rsidRDefault="00000000">
      <w:pPr>
        <w:spacing w:after="200" w:line="276" w:lineRule="auto"/>
      </w:pPr>
      <w:r>
        <w:rPr>
          <w:rFonts w:ascii="Calibri" w:eastAsia="Calibri" w:hAnsi="Calibri" w:cs="Calibri"/>
          <w:sz w:val="22"/>
          <w:szCs w:val="22"/>
        </w:rPr>
        <w:t>A guarantee of collection can be explicit and foreign-law governed and still be a weak practical protection, because it delays and dilutes the claim exactly when speed matters most, in a liquidity crisis. This single drafting choice is one of the most consequential, and most overlooked, details in the entire structure.</w:t>
      </w:r>
    </w:p>
    <w:p w14:paraId="47384BD4" w14:textId="77777777" w:rsidR="00A73BBA" w:rsidRDefault="00000000">
      <w:pPr>
        <w:spacing w:after="200" w:line="276" w:lineRule="auto"/>
      </w:pPr>
      <w:r>
        <w:rPr>
          <w:rFonts w:ascii="Calibri" w:eastAsia="Calibri" w:hAnsi="Calibri" w:cs="Calibri"/>
          <w:b/>
          <w:bCs/>
          <w:sz w:val="22"/>
          <w:szCs w:val="22"/>
        </w:rPr>
        <w:t xml:space="preserve">Why it matters: </w:t>
      </w:r>
      <w:r>
        <w:rPr>
          <w:rFonts w:ascii="Calibri" w:eastAsia="Calibri" w:hAnsi="Calibri" w:cs="Calibri"/>
          <w:sz w:val="22"/>
          <w:szCs w:val="22"/>
        </w:rPr>
        <w:t>Local law does not make a guarantee worthless, but it means enforcement ultimately depends on the same government’s willingness to respect its own commitments under its own rules, with no external check.</w:t>
      </w:r>
    </w:p>
    <w:p w14:paraId="55C1DDA1" w14:textId="77777777" w:rsidR="00A73BBA" w:rsidRDefault="00000000">
      <w:pPr>
        <w:pStyle w:val="Heading2"/>
        <w:spacing w:before="260" w:after="120"/>
      </w:pPr>
      <w:r>
        <w:rPr>
          <w:rFonts w:ascii="Calibri" w:eastAsia="Calibri" w:hAnsi="Calibri" w:cs="Calibri"/>
          <w:b/>
          <w:bCs/>
          <w:color w:val="2E5395"/>
          <w:sz w:val="24"/>
          <w:szCs w:val="24"/>
        </w:rPr>
        <w:t>3. Immunity waiver</w:t>
      </w:r>
    </w:p>
    <w:p w14:paraId="09604C9F" w14:textId="77777777" w:rsidR="00A73BBA" w:rsidRDefault="00000000">
      <w:pPr>
        <w:spacing w:after="120"/>
      </w:pPr>
      <w:r>
        <w:rPr>
          <w:rFonts w:ascii="Calibri" w:eastAsia="Calibri" w:hAnsi="Calibri" w:cs="Calibri"/>
          <w:b/>
          <w:bCs/>
          <w:sz w:val="22"/>
          <w:szCs w:val="22"/>
        </w:rPr>
        <w:t>What to check</w:t>
      </w:r>
    </w:p>
    <w:p w14:paraId="4E682F27"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Is there a full waiver of sovereign immunity, both immunity from suit and immunity from execution or attachment of assets, or only a partial waiver (immunity from suit waived, but immunity from execution retained, meaning a creditor can sue but cannot </w:t>
      </w:r>
      <w:proofErr w:type="gramStart"/>
      <w:r>
        <w:rPr>
          <w:rFonts w:ascii="Calibri" w:eastAsia="Calibri" w:hAnsi="Calibri" w:cs="Calibri"/>
          <w:sz w:val="22"/>
          <w:szCs w:val="22"/>
        </w:rPr>
        <w:t>actually seize</w:t>
      </w:r>
      <w:proofErr w:type="gramEnd"/>
      <w:r>
        <w:rPr>
          <w:rFonts w:ascii="Calibri" w:eastAsia="Calibri" w:hAnsi="Calibri" w:cs="Calibri"/>
          <w:sz w:val="22"/>
          <w:szCs w:val="22"/>
        </w:rPr>
        <w:t xml:space="preserve"> anything)?</w:t>
      </w:r>
    </w:p>
    <w:p w14:paraId="0DE5B846" w14:textId="77777777" w:rsidR="00A73BBA" w:rsidRDefault="00000000">
      <w:pPr>
        <w:pStyle w:val="ListParagraph"/>
        <w:numPr>
          <w:ilvl w:val="0"/>
          <w:numId w:val="2"/>
        </w:numPr>
        <w:spacing w:after="100" w:line="276" w:lineRule="auto"/>
      </w:pPr>
      <w:r>
        <w:rPr>
          <w:rFonts w:ascii="Calibri" w:eastAsia="Calibri" w:hAnsi="Calibri" w:cs="Calibri"/>
          <w:sz w:val="22"/>
          <w:szCs w:val="22"/>
        </w:rPr>
        <w:t>Does the waiver specifically cover commercial assets, or is it vague and general?</w:t>
      </w:r>
    </w:p>
    <w:p w14:paraId="40DB0562"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Has this sovereign’s immunity waiver </w:t>
      </w:r>
      <w:proofErr w:type="gramStart"/>
      <w:r>
        <w:rPr>
          <w:rFonts w:ascii="Calibri" w:eastAsia="Calibri" w:hAnsi="Calibri" w:cs="Calibri"/>
          <w:sz w:val="22"/>
          <w:szCs w:val="22"/>
        </w:rPr>
        <w:t>actually been</w:t>
      </w:r>
      <w:proofErr w:type="gramEnd"/>
      <w:r>
        <w:rPr>
          <w:rFonts w:ascii="Calibri" w:eastAsia="Calibri" w:hAnsi="Calibri" w:cs="Calibri"/>
          <w:sz w:val="22"/>
          <w:szCs w:val="22"/>
        </w:rPr>
        <w:t xml:space="preserve"> tested in litigation before? A waiver with case law behind it (the way Argentina’s was tested in NML Capital v. Argentina) carries materially less uncertainty than one that has never been enforced.</w:t>
      </w:r>
    </w:p>
    <w:p w14:paraId="2D6A6408" w14:textId="77777777" w:rsidR="00A73BBA" w:rsidRDefault="00000000">
      <w:pPr>
        <w:spacing w:after="200" w:line="276" w:lineRule="auto"/>
      </w:pPr>
      <w:r>
        <w:rPr>
          <w:rFonts w:ascii="Calibri" w:eastAsia="Calibri" w:hAnsi="Calibri" w:cs="Calibri"/>
          <w:b/>
          <w:bCs/>
          <w:sz w:val="22"/>
          <w:szCs w:val="22"/>
        </w:rPr>
        <w:lastRenderedPageBreak/>
        <w:t xml:space="preserve">Why it matters: </w:t>
      </w:r>
      <w:r>
        <w:rPr>
          <w:rFonts w:ascii="Calibri" w:eastAsia="Calibri" w:hAnsi="Calibri" w:cs="Calibri"/>
          <w:sz w:val="22"/>
          <w:szCs w:val="22"/>
        </w:rPr>
        <w:t xml:space="preserve">A guarantee is only as good as a creditor’s ability to </w:t>
      </w:r>
      <w:proofErr w:type="gramStart"/>
      <w:r>
        <w:rPr>
          <w:rFonts w:ascii="Calibri" w:eastAsia="Calibri" w:hAnsi="Calibri" w:cs="Calibri"/>
          <w:sz w:val="22"/>
          <w:szCs w:val="22"/>
        </w:rPr>
        <w:t>actually collect</w:t>
      </w:r>
      <w:proofErr w:type="gramEnd"/>
      <w:r>
        <w:rPr>
          <w:rFonts w:ascii="Calibri" w:eastAsia="Calibri" w:hAnsi="Calibri" w:cs="Calibri"/>
          <w:sz w:val="22"/>
          <w:szCs w:val="22"/>
        </w:rPr>
        <w:t xml:space="preserve"> on it. An unenforceable guarantee against an unwilling sovereign is a moral commitment with legal packaging, not a credit enhancement.</w:t>
      </w:r>
    </w:p>
    <w:p w14:paraId="658C622B" w14:textId="77777777" w:rsidR="00A73BBA" w:rsidRDefault="00000000">
      <w:pPr>
        <w:pStyle w:val="Heading2"/>
        <w:spacing w:before="260" w:after="120"/>
      </w:pPr>
      <w:r>
        <w:rPr>
          <w:rFonts w:ascii="Calibri" w:eastAsia="Calibri" w:hAnsi="Calibri" w:cs="Calibri"/>
          <w:b/>
          <w:bCs/>
          <w:color w:val="2E5395"/>
          <w:sz w:val="24"/>
          <w:szCs w:val="24"/>
        </w:rPr>
        <w:t>4. Guarantee scope</w:t>
      </w:r>
    </w:p>
    <w:p w14:paraId="559EEE9A" w14:textId="77777777" w:rsidR="00A73BBA" w:rsidRDefault="00000000">
      <w:pPr>
        <w:spacing w:after="120"/>
      </w:pPr>
      <w:r>
        <w:rPr>
          <w:rFonts w:ascii="Calibri" w:eastAsia="Calibri" w:hAnsi="Calibri" w:cs="Calibri"/>
          <w:b/>
          <w:bCs/>
          <w:sz w:val="22"/>
          <w:szCs w:val="22"/>
        </w:rPr>
        <w:t>What to check</w:t>
      </w:r>
    </w:p>
    <w:p w14:paraId="4D3461C3"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Coverage: principal only, or principal plus coupon? Some structures only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return of principal at maturity, leaving intermediate coupon payments unprotected, a meaningful gap for any cash-flow-dependent investor.</w:t>
      </w:r>
    </w:p>
    <w:p w14:paraId="6D974B2E" w14:textId="77777777" w:rsidR="00A73BBA" w:rsidRDefault="00000000">
      <w:pPr>
        <w:pStyle w:val="ListParagraph"/>
        <w:numPr>
          <w:ilvl w:val="0"/>
          <w:numId w:val="2"/>
        </w:numPr>
        <w:spacing w:after="100" w:line="276" w:lineRule="auto"/>
      </w:pPr>
      <w:r>
        <w:rPr>
          <w:rFonts w:ascii="Calibri" w:eastAsia="Calibri" w:hAnsi="Calibri" w:cs="Calibri"/>
          <w:sz w:val="22"/>
          <w:szCs w:val="22"/>
        </w:rPr>
        <w:t>Conditionality: unconditional and irrevocable, or conditional? Conditional guarantees may trigger only on specific default events (straightforward non-payment) but exclude others: technical covenant breach, cross-default, or debt treatment under an IMF programme. The trigger definition is doing a lot of the real work here.</w:t>
      </w:r>
    </w:p>
    <w:p w14:paraId="602C1FA4" w14:textId="77777777" w:rsidR="00A73BBA" w:rsidRDefault="00000000">
      <w:pPr>
        <w:pStyle w:val="ListParagraph"/>
        <w:numPr>
          <w:ilvl w:val="0"/>
          <w:numId w:val="2"/>
        </w:numPr>
        <w:spacing w:after="100" w:line="276" w:lineRule="auto"/>
      </w:pPr>
      <w:r>
        <w:rPr>
          <w:rFonts w:ascii="Calibri" w:eastAsia="Calibri" w:hAnsi="Calibri" w:cs="Calibri"/>
          <w:sz w:val="22"/>
          <w:szCs w:val="22"/>
        </w:rPr>
        <w:t>Full vs partial (PCG): if partial, what is the actual structure?</w:t>
      </w:r>
    </w:p>
    <w:p w14:paraId="17C6C10E" w14:textId="77777777" w:rsidR="00A73BBA" w:rsidRDefault="00000000">
      <w:pPr>
        <w:pStyle w:val="ListParagraph"/>
        <w:numPr>
          <w:ilvl w:val="1"/>
          <w:numId w:val="2"/>
        </w:numPr>
        <w:spacing w:after="100" w:line="276" w:lineRule="auto"/>
      </w:pPr>
      <w:r>
        <w:rPr>
          <w:rFonts w:ascii="Calibri" w:eastAsia="Calibri" w:hAnsi="Calibri" w:cs="Calibri"/>
          <w:sz w:val="22"/>
          <w:szCs w:val="22"/>
        </w:rPr>
        <w:t>Percentage-of-principal / first-loss coverage: guarantor covers a defined share of principal in a default scenario; the bondholder retains real exposure to the issuer’s own recovery value on the uncovered portion.</w:t>
      </w:r>
    </w:p>
    <w:p w14:paraId="3EE8EDD5" w14:textId="77777777" w:rsidR="00A73BBA" w:rsidRDefault="00000000">
      <w:pPr>
        <w:pStyle w:val="ListParagraph"/>
        <w:numPr>
          <w:ilvl w:val="1"/>
          <w:numId w:val="2"/>
        </w:numPr>
        <w:spacing w:after="100" w:line="276" w:lineRule="auto"/>
      </w:pPr>
      <w:r>
        <w:rPr>
          <w:rFonts w:ascii="Calibri" w:eastAsia="Calibri" w:hAnsi="Calibri" w:cs="Calibri"/>
          <w:sz w:val="22"/>
          <w:szCs w:val="22"/>
        </w:rPr>
        <w:t>Rolling / reinstating coverage: the guarantee covers a defined forward window (e.g. the next 12–18 months of debt service), replenished after each payment. This protects primarily against a near-term liquidity default, not against medium-term solvency risk.</w:t>
      </w:r>
    </w:p>
    <w:p w14:paraId="08F8E39E" w14:textId="77777777" w:rsidR="00A73BBA" w:rsidRDefault="00000000">
      <w:pPr>
        <w:pStyle w:val="ListParagraph"/>
        <w:numPr>
          <w:ilvl w:val="1"/>
          <w:numId w:val="2"/>
        </w:numPr>
        <w:spacing w:after="100" w:line="276" w:lineRule="auto"/>
      </w:pPr>
      <w:r>
        <w:rPr>
          <w:rFonts w:ascii="Calibri" w:eastAsia="Calibri" w:hAnsi="Calibri" w:cs="Calibri"/>
          <w:sz w:val="22"/>
          <w:szCs w:val="22"/>
        </w:rPr>
        <w:t>Specific trigger-only coverage: the guarantee is triggered only by defined events (e.g. non-payment) and may explicitly exclude others, such as restructuring under a multilateral programme.</w:t>
      </w:r>
    </w:p>
    <w:p w14:paraId="4F40D2B4"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Timing of the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call: is there a defined grace period, and how long does the guarantor have to </w:t>
      </w:r>
      <w:proofErr w:type="gramStart"/>
      <w:r>
        <w:rPr>
          <w:rFonts w:ascii="Calibri" w:eastAsia="Calibri" w:hAnsi="Calibri" w:cs="Calibri"/>
          <w:sz w:val="22"/>
          <w:szCs w:val="22"/>
        </w:rPr>
        <w:t>actually pay</w:t>
      </w:r>
      <w:proofErr w:type="gramEnd"/>
      <w:r>
        <w:rPr>
          <w:rFonts w:ascii="Calibri" w:eastAsia="Calibri" w:hAnsi="Calibri" w:cs="Calibri"/>
          <w:sz w:val="22"/>
          <w:szCs w:val="22"/>
        </w:rPr>
        <w:t xml:space="preserve"> out once called? Even a strong guarantee with a long payment window creates real interim risk.</w:t>
      </w:r>
    </w:p>
    <w:p w14:paraId="04E026F9" w14:textId="77777777" w:rsidR="00A73BBA" w:rsidRDefault="00000000">
      <w:pPr>
        <w:spacing w:after="200" w:line="276" w:lineRule="auto"/>
      </w:pPr>
      <w:r>
        <w:rPr>
          <w:rFonts w:ascii="Calibri" w:eastAsia="Calibri" w:hAnsi="Calibri" w:cs="Calibri"/>
          <w:b/>
          <w:bCs/>
          <w:sz w:val="22"/>
          <w:szCs w:val="22"/>
        </w:rPr>
        <w:t xml:space="preserve">Why it matters: </w:t>
      </w:r>
      <w:r>
        <w:rPr>
          <w:rFonts w:ascii="Calibri" w:eastAsia="Calibri" w:hAnsi="Calibri" w:cs="Calibri"/>
          <w:sz w:val="22"/>
          <w:szCs w:val="22"/>
        </w:rPr>
        <w:t xml:space="preserve">This is where “the guarantee is strong” and “the guarantee removes credit risk” stop being the same statement. A partial credit guarantee mostly compresses loss given default, not probability of default; the underlying issuer’s own credit quality still anchors the analysis, regardless of how well-structured the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mechanics are.</w:t>
      </w:r>
    </w:p>
    <w:p w14:paraId="2643E14C" w14:textId="77777777" w:rsidR="00A73BBA" w:rsidRDefault="00000000">
      <w:pPr>
        <w:spacing w:after="200" w:line="276" w:lineRule="auto"/>
      </w:pPr>
      <w:r>
        <w:rPr>
          <w:rFonts w:ascii="Calibri" w:eastAsia="Calibri" w:hAnsi="Calibri" w:cs="Calibri"/>
          <w:b/>
          <w:bCs/>
          <w:i/>
          <w:iCs/>
          <w:sz w:val="22"/>
          <w:szCs w:val="22"/>
        </w:rPr>
        <w:t xml:space="preserve">Egypt example (strong mechanics, partial substitution): </w:t>
      </w:r>
      <w:r>
        <w:rPr>
          <w:rFonts w:ascii="Calibri" w:eastAsia="Calibri" w:hAnsi="Calibri" w:cs="Calibri"/>
          <w:i/>
          <w:iCs/>
          <w:sz w:val="22"/>
          <w:szCs w:val="22"/>
        </w:rPr>
        <w:t xml:space="preserve">Egypt’s AfDB-backed sustainability samurai bond carries an explicit partial credit guarantee from a AAA-rated multilateral, with tranches rated AA+ and AA </w:t>
      </w:r>
      <w:proofErr w:type="gramStart"/>
      <w:r>
        <w:rPr>
          <w:rFonts w:ascii="Calibri" w:eastAsia="Calibri" w:hAnsi="Calibri" w:cs="Calibri"/>
          <w:i/>
          <w:iCs/>
          <w:sz w:val="22"/>
          <w:szCs w:val="22"/>
        </w:rPr>
        <w:t>as a result of</w:t>
      </w:r>
      <w:proofErr w:type="gramEnd"/>
      <w:r>
        <w:rPr>
          <w:rFonts w:ascii="Calibri" w:eastAsia="Calibri" w:hAnsi="Calibri" w:cs="Calibri"/>
          <w:i/>
          <w:iCs/>
          <w:sz w:val="22"/>
          <w:szCs w:val="22"/>
        </w:rPr>
        <w:t xml:space="preserve"> the guarantee. The </w:t>
      </w:r>
      <w:proofErr w:type="gramStart"/>
      <w:r>
        <w:rPr>
          <w:rFonts w:ascii="Calibri" w:eastAsia="Calibri" w:hAnsi="Calibri" w:cs="Calibri"/>
          <w:i/>
          <w:iCs/>
          <w:sz w:val="22"/>
          <w:szCs w:val="22"/>
        </w:rPr>
        <w:t>guarantee</w:t>
      </w:r>
      <w:proofErr w:type="gramEnd"/>
      <w:r>
        <w:rPr>
          <w:rFonts w:ascii="Calibri" w:eastAsia="Calibri" w:hAnsi="Calibri" w:cs="Calibri"/>
          <w:i/>
          <w:iCs/>
          <w:sz w:val="22"/>
          <w:szCs w:val="22"/>
        </w:rPr>
        <w:t xml:space="preserve"> mechanics sit at the strong end of this checklist: foreign-governed structure, credible guarantor, defined coverage. But because the guarantee is partial, the underlying issuer’s own default probability continues to anchor the credit; the AA rating reflects improved expected loss, not full substitution of Egypt’s own risk profile.</w:t>
      </w:r>
    </w:p>
    <w:p w14:paraId="1526D4FD" w14:textId="77777777" w:rsidR="00A73BBA" w:rsidRDefault="00000000">
      <w:pPr>
        <w:pStyle w:val="Heading2"/>
        <w:spacing w:before="260" w:after="120"/>
      </w:pPr>
      <w:r>
        <w:rPr>
          <w:rFonts w:ascii="Calibri" w:eastAsia="Calibri" w:hAnsi="Calibri" w:cs="Calibri"/>
          <w:b/>
          <w:bCs/>
          <w:color w:val="2E5395"/>
          <w:sz w:val="24"/>
          <w:szCs w:val="24"/>
        </w:rPr>
        <w:t>5. Payment mechanism</w:t>
      </w:r>
    </w:p>
    <w:p w14:paraId="0DC5A01E" w14:textId="77777777" w:rsidR="00A73BBA" w:rsidRDefault="00000000">
      <w:pPr>
        <w:spacing w:after="120"/>
      </w:pPr>
      <w:r>
        <w:rPr>
          <w:rFonts w:ascii="Calibri" w:eastAsia="Calibri" w:hAnsi="Calibri" w:cs="Calibri"/>
          <w:b/>
          <w:bCs/>
          <w:sz w:val="22"/>
          <w:szCs w:val="22"/>
        </w:rPr>
        <w:lastRenderedPageBreak/>
        <w:t>What to check</w:t>
      </w:r>
    </w:p>
    <w:p w14:paraId="719C46D5" w14:textId="77777777" w:rsidR="00A73BBA" w:rsidRDefault="00000000">
      <w:pPr>
        <w:pStyle w:val="ListParagraph"/>
        <w:numPr>
          <w:ilvl w:val="0"/>
          <w:numId w:val="2"/>
        </w:numPr>
        <w:spacing w:after="100" w:line="276" w:lineRule="auto"/>
      </w:pPr>
      <w:r>
        <w:rPr>
          <w:rFonts w:ascii="Calibri" w:eastAsia="Calibri" w:hAnsi="Calibri" w:cs="Calibri"/>
          <w:sz w:val="22"/>
          <w:szCs w:val="22"/>
        </w:rPr>
        <w:t>Does the guarantor pay the bondholder or trustee directly, or is payment routed through a domestic paying agent or ministry?</w:t>
      </w:r>
    </w:p>
    <w:p w14:paraId="13565277" w14:textId="77777777" w:rsidR="00A73BBA" w:rsidRDefault="00000000">
      <w:pPr>
        <w:pStyle w:val="ListParagraph"/>
        <w:numPr>
          <w:ilvl w:val="0"/>
          <w:numId w:val="2"/>
        </w:numPr>
        <w:spacing w:after="100" w:line="276" w:lineRule="auto"/>
      </w:pPr>
      <w:r>
        <w:rPr>
          <w:rFonts w:ascii="Calibri" w:eastAsia="Calibri" w:hAnsi="Calibri" w:cs="Calibri"/>
          <w:sz w:val="22"/>
          <w:szCs w:val="22"/>
        </w:rPr>
        <w:t>If routed domestically, what foreign exchange conversion step is involved, and at what rate (official or market)? This reintroduces currency and convertibility risk even where the underlying credit risk is fully covered.</w:t>
      </w:r>
    </w:p>
    <w:p w14:paraId="71A66716" w14:textId="77777777" w:rsidR="00A73BBA" w:rsidRDefault="00000000">
      <w:pPr>
        <w:pStyle w:val="ListParagraph"/>
        <w:numPr>
          <w:ilvl w:val="0"/>
          <w:numId w:val="2"/>
        </w:numPr>
        <w:spacing w:after="100" w:line="276" w:lineRule="auto"/>
      </w:pPr>
      <w:r>
        <w:rPr>
          <w:rFonts w:ascii="Calibri" w:eastAsia="Calibri" w:hAnsi="Calibri" w:cs="Calibri"/>
          <w:sz w:val="22"/>
          <w:szCs w:val="22"/>
        </w:rPr>
        <w:t>Is there an escrow or reserve account structure (common in some multilateral-guaranteed EM issuance) that pre-funds debt service? This is materially stronger than a pure “guarantor pays on demand” mechanism, because the funds are already set aside rather than requiring a fresh payment decision under stress.</w:t>
      </w:r>
    </w:p>
    <w:p w14:paraId="17CD9840" w14:textId="77777777" w:rsidR="00A73BBA" w:rsidRDefault="00000000">
      <w:pPr>
        <w:spacing w:after="200" w:line="276" w:lineRule="auto"/>
      </w:pPr>
      <w:r>
        <w:rPr>
          <w:rFonts w:ascii="Calibri" w:eastAsia="Calibri" w:hAnsi="Calibri" w:cs="Calibri"/>
          <w:b/>
          <w:bCs/>
          <w:sz w:val="22"/>
          <w:szCs w:val="22"/>
        </w:rPr>
        <w:t xml:space="preserve">Why it matters: </w:t>
      </w:r>
      <w:r>
        <w:rPr>
          <w:rFonts w:ascii="Calibri" w:eastAsia="Calibri" w:hAnsi="Calibri" w:cs="Calibri"/>
          <w:sz w:val="22"/>
          <w:szCs w:val="22"/>
        </w:rPr>
        <w:t>A legally airtight guarantee can still be operationally slow or subject to administrative discretion if the payment path runs through the same government apparatus the guarantee is meant to protect against.</w:t>
      </w:r>
    </w:p>
    <w:p w14:paraId="4556A03F" w14:textId="77777777" w:rsidR="00A73BBA" w:rsidRDefault="00000000">
      <w:pPr>
        <w:pStyle w:val="Heading2"/>
        <w:spacing w:before="260" w:after="120"/>
      </w:pPr>
      <w:r>
        <w:rPr>
          <w:rFonts w:ascii="Calibri" w:eastAsia="Calibri" w:hAnsi="Calibri" w:cs="Calibri"/>
          <w:b/>
          <w:bCs/>
          <w:color w:val="2E5395"/>
          <w:sz w:val="24"/>
          <w:szCs w:val="24"/>
        </w:rPr>
        <w:t>6. Guarantor identity and own credit quality</w:t>
      </w:r>
    </w:p>
    <w:p w14:paraId="274E784A" w14:textId="77777777" w:rsidR="00A73BBA" w:rsidRDefault="00000000">
      <w:pPr>
        <w:spacing w:after="120"/>
      </w:pPr>
      <w:r>
        <w:rPr>
          <w:rFonts w:ascii="Calibri" w:eastAsia="Calibri" w:hAnsi="Calibri" w:cs="Calibri"/>
          <w:b/>
          <w:bCs/>
          <w:sz w:val="22"/>
          <w:szCs w:val="22"/>
        </w:rPr>
        <w:t>What to check</w:t>
      </w:r>
    </w:p>
    <w:p w14:paraId="08697BD6" w14:textId="77777777" w:rsidR="00A73BBA" w:rsidRDefault="00000000">
      <w:pPr>
        <w:pStyle w:val="ListParagraph"/>
        <w:numPr>
          <w:ilvl w:val="0"/>
          <w:numId w:val="2"/>
        </w:numPr>
        <w:spacing w:after="100" w:line="276" w:lineRule="auto"/>
      </w:pPr>
      <w:r>
        <w:rPr>
          <w:rFonts w:ascii="Calibri" w:eastAsia="Calibri" w:hAnsi="Calibri" w:cs="Calibri"/>
          <w:sz w:val="22"/>
          <w:szCs w:val="22"/>
        </w:rPr>
        <w:t>If the guarantor is a sovereign or related sovereign entity, this substantially collapses back into standard sovereign credit analysis. Check whether the guarantor is genuinely independent of the issuer’s own fiscal situation, since correlated stress (a regional government guaranteeing a national entity, for instance) can undermine the diversification benefit.</w:t>
      </w:r>
    </w:p>
    <w:p w14:paraId="51C0891F"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If the guarantor is multilateral (AfDB, World Bank/IBRD, IFC, US DFC, EIB): check its own senior unsecured rating (typically AAA or AA+), its preferred creditor status (multilaterals are generally repaid ahead of other creditors even in a sovereign restructuring, a real structural strength worth naming explicitly), and its track record of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products actually being called and honoured.</w:t>
      </w:r>
    </w:p>
    <w:p w14:paraId="625955EF" w14:textId="77777777" w:rsidR="00A73BBA" w:rsidRDefault="00000000">
      <w:pPr>
        <w:pStyle w:val="ListParagraph"/>
        <w:numPr>
          <w:ilvl w:val="0"/>
          <w:numId w:val="2"/>
        </w:numPr>
        <w:spacing w:after="100" w:line="276" w:lineRule="auto"/>
      </w:pPr>
      <w:r>
        <w:rPr>
          <w:rFonts w:ascii="Calibri" w:eastAsia="Calibri" w:hAnsi="Calibri" w:cs="Calibri"/>
          <w:sz w:val="22"/>
          <w:szCs w:val="22"/>
        </w:rPr>
        <w:t>What currency does the guarantor’s obligation crystallize in? A guarantee denominated in a different currency than the underlying bond reintroduces basis and FX risk even with a top-tier guarantor.</w:t>
      </w:r>
    </w:p>
    <w:p w14:paraId="18428C57" w14:textId="77777777" w:rsidR="00A73BBA" w:rsidRDefault="00000000">
      <w:pPr>
        <w:spacing w:after="200" w:line="276" w:lineRule="auto"/>
      </w:pPr>
      <w:r>
        <w:rPr>
          <w:rFonts w:ascii="Calibri" w:eastAsia="Calibri" w:hAnsi="Calibri" w:cs="Calibri"/>
          <w:b/>
          <w:bCs/>
          <w:sz w:val="22"/>
          <w:szCs w:val="22"/>
        </w:rPr>
        <w:t xml:space="preserve">Why it matters: </w:t>
      </w:r>
      <w:r>
        <w:rPr>
          <w:rFonts w:ascii="Calibri" w:eastAsia="Calibri" w:hAnsi="Calibri" w:cs="Calibri"/>
          <w:sz w:val="22"/>
          <w:szCs w:val="22"/>
        </w:rPr>
        <w:t xml:space="preserve">The entire exercise only enhances credit if it substitutes a stronger credit for a weaker </w:t>
      </w:r>
      <w:proofErr w:type="spellStart"/>
      <w:r>
        <w:rPr>
          <w:rFonts w:ascii="Calibri" w:eastAsia="Calibri" w:hAnsi="Calibri" w:cs="Calibri"/>
          <w:sz w:val="22"/>
          <w:szCs w:val="22"/>
        </w:rPr>
        <w:t>one</w:t>
      </w:r>
      <w:proofErr w:type="spellEnd"/>
      <w:r>
        <w:rPr>
          <w:rFonts w:ascii="Calibri" w:eastAsia="Calibri" w:hAnsi="Calibri" w:cs="Calibri"/>
          <w:sz w:val="22"/>
          <w:szCs w:val="22"/>
        </w:rPr>
        <w:t xml:space="preserve">. A guarantee only helps if the guarantor is genuinely </w:t>
      </w:r>
      <w:proofErr w:type="gramStart"/>
      <w:r>
        <w:rPr>
          <w:rFonts w:ascii="Calibri" w:eastAsia="Calibri" w:hAnsi="Calibri" w:cs="Calibri"/>
          <w:sz w:val="22"/>
          <w:szCs w:val="22"/>
        </w:rPr>
        <w:t>better-rated</w:t>
      </w:r>
      <w:proofErr w:type="gramEnd"/>
      <w:r>
        <w:rPr>
          <w:rFonts w:ascii="Calibri" w:eastAsia="Calibri" w:hAnsi="Calibri" w:cs="Calibri"/>
          <w:sz w:val="22"/>
          <w:szCs w:val="22"/>
        </w:rPr>
        <w:t xml:space="preserve"> and more reliable than the issuer standing alone. This sounds obvious, but it’s the step most often skipped in favour of just reading the headline rating.</w:t>
      </w:r>
    </w:p>
    <w:p w14:paraId="4C0EA944" w14:textId="77777777" w:rsidR="00A73BBA" w:rsidRDefault="00000000">
      <w:pPr>
        <w:pStyle w:val="Heading2"/>
        <w:spacing w:before="260" w:after="120"/>
      </w:pPr>
      <w:r>
        <w:rPr>
          <w:rFonts w:ascii="Calibri" w:eastAsia="Calibri" w:hAnsi="Calibri" w:cs="Calibri"/>
          <w:b/>
          <w:bCs/>
          <w:color w:val="2E5395"/>
          <w:sz w:val="24"/>
          <w:szCs w:val="24"/>
        </w:rPr>
        <w:t>7. Rating agency treatment</w:t>
      </w:r>
    </w:p>
    <w:p w14:paraId="6980705D" w14:textId="77777777" w:rsidR="00A73BBA" w:rsidRDefault="00000000">
      <w:pPr>
        <w:spacing w:after="120"/>
      </w:pPr>
      <w:r>
        <w:rPr>
          <w:rFonts w:ascii="Calibri" w:eastAsia="Calibri" w:hAnsi="Calibri" w:cs="Calibri"/>
          <w:b/>
          <w:bCs/>
          <w:sz w:val="22"/>
          <w:szCs w:val="22"/>
        </w:rPr>
        <w:t>What to check</w:t>
      </w:r>
    </w:p>
    <w:p w14:paraId="7F6397BE" w14:textId="77777777" w:rsidR="00A73BBA" w:rsidRDefault="00000000">
      <w:pPr>
        <w:pStyle w:val="ListParagraph"/>
        <w:numPr>
          <w:ilvl w:val="0"/>
          <w:numId w:val="2"/>
        </w:numPr>
        <w:spacing w:after="100" w:line="276" w:lineRule="auto"/>
      </w:pPr>
      <w:r>
        <w:rPr>
          <w:rFonts w:ascii="Calibri" w:eastAsia="Calibri" w:hAnsi="Calibri" w:cs="Calibri"/>
          <w:sz w:val="22"/>
          <w:szCs w:val="22"/>
        </w:rPr>
        <w:t>Do rating agencies rate the guaranteed instrument separately from the underlying issuer?</w:t>
      </w:r>
    </w:p>
    <w:p w14:paraId="2AC14CCF" w14:textId="77777777" w:rsidR="00A73BBA" w:rsidRDefault="00000000">
      <w:pPr>
        <w:pStyle w:val="ListParagraph"/>
        <w:numPr>
          <w:ilvl w:val="0"/>
          <w:numId w:val="2"/>
        </w:numPr>
        <w:spacing w:after="100" w:line="276" w:lineRule="auto"/>
      </w:pPr>
      <w:r>
        <w:rPr>
          <w:rFonts w:ascii="Calibri" w:eastAsia="Calibri" w:hAnsi="Calibri" w:cs="Calibri"/>
          <w:sz w:val="22"/>
          <w:szCs w:val="22"/>
        </w:rPr>
        <w:t>Read the actual rating action commentary, not just the letter grade. Agencies typically explain exactly how much uplift the guarantee provided and why. This is where the probability-of-default versus loss-given-default distinction is usually made explicit, sometimes even quantified.</w:t>
      </w:r>
    </w:p>
    <w:p w14:paraId="54AC738B" w14:textId="77777777" w:rsidR="00A73BBA" w:rsidRDefault="00000000">
      <w:pPr>
        <w:spacing w:after="200" w:line="276" w:lineRule="auto"/>
      </w:pPr>
      <w:r>
        <w:rPr>
          <w:rFonts w:ascii="Calibri" w:eastAsia="Calibri" w:hAnsi="Calibri" w:cs="Calibri"/>
          <w:b/>
          <w:bCs/>
          <w:sz w:val="22"/>
          <w:szCs w:val="22"/>
        </w:rPr>
        <w:lastRenderedPageBreak/>
        <w:t xml:space="preserve">Why it matters: </w:t>
      </w:r>
      <w:r>
        <w:rPr>
          <w:rFonts w:ascii="Calibri" w:eastAsia="Calibri" w:hAnsi="Calibri" w:cs="Calibri"/>
          <w:sz w:val="22"/>
          <w:szCs w:val="22"/>
        </w:rPr>
        <w:t>A rating is a single letter standing in for a blend of default probability and expected recovery. Two bonds can carry the same rating for very different reasons: one because the issuer itself is genuinely strong, another because a partial guarantee improved recovery assumptions on an otherwise weak issuer. Treating both as equivalent from a spread or relative-value perspective is a common and costly mistake.</w:t>
      </w:r>
    </w:p>
    <w:p w14:paraId="76D98D3C" w14:textId="77777777" w:rsidR="00A73BBA" w:rsidRDefault="00000000">
      <w:pPr>
        <w:pStyle w:val="Heading2"/>
        <w:spacing w:before="260" w:after="120"/>
      </w:pPr>
      <w:r>
        <w:rPr>
          <w:rFonts w:ascii="Calibri" w:eastAsia="Calibri" w:hAnsi="Calibri" w:cs="Calibri"/>
          <w:b/>
          <w:bCs/>
          <w:color w:val="2E5395"/>
          <w:sz w:val="24"/>
          <w:szCs w:val="24"/>
        </w:rPr>
        <w:t>8. Ranking and documentation transparency</w:t>
      </w:r>
    </w:p>
    <w:p w14:paraId="130C2CAA" w14:textId="77777777" w:rsidR="00A73BBA" w:rsidRDefault="00000000">
      <w:pPr>
        <w:spacing w:after="120"/>
      </w:pPr>
      <w:r>
        <w:rPr>
          <w:rFonts w:ascii="Calibri" w:eastAsia="Calibri" w:hAnsi="Calibri" w:cs="Calibri"/>
          <w:b/>
          <w:bCs/>
          <w:sz w:val="22"/>
          <w:szCs w:val="22"/>
        </w:rPr>
        <w:t>What to check</w:t>
      </w:r>
    </w:p>
    <w:p w14:paraId="551A1E98" w14:textId="77777777" w:rsidR="00A73BBA" w:rsidRDefault="00000000">
      <w:pPr>
        <w:pStyle w:val="ListParagraph"/>
        <w:numPr>
          <w:ilvl w:val="0"/>
          <w:numId w:val="2"/>
        </w:numPr>
        <w:spacing w:after="100" w:line="276" w:lineRule="auto"/>
      </w:pPr>
      <w:r>
        <w:rPr>
          <w:rFonts w:ascii="Calibri" w:eastAsia="Calibri" w:hAnsi="Calibri" w:cs="Calibri"/>
          <w:sz w:val="22"/>
          <w:szCs w:val="22"/>
        </w:rPr>
        <w:t>Does the guaranteed bond rank pari passu with the sovereign’s other external debt? Preferred ranking language should be explicit, not assumed, since it directly affects treatment in any future restructuring.</w:t>
      </w:r>
    </w:p>
    <w:p w14:paraId="661486D5" w14:textId="77777777" w:rsidR="00A73BBA" w:rsidRDefault="00000000">
      <w:pPr>
        <w:pStyle w:val="ListParagraph"/>
        <w:numPr>
          <w:ilvl w:val="0"/>
          <w:numId w:val="2"/>
        </w:numPr>
        <w:spacing w:after="100" w:line="276" w:lineRule="auto"/>
      </w:pPr>
      <w:r>
        <w:rPr>
          <w:rFonts w:ascii="Calibri" w:eastAsia="Calibri" w:hAnsi="Calibri" w:cs="Calibri"/>
          <w:sz w:val="22"/>
          <w:szCs w:val="22"/>
        </w:rPr>
        <w:t xml:space="preserve">Is the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documentation itself publicly available? In practice it often is not, which is a risk factor in its own right: an investor is frequently relying on summary disclosure or rating agency commentary rather than the underlying legal instrument.</w:t>
      </w:r>
    </w:p>
    <w:p w14:paraId="3C857C82" w14:textId="77777777" w:rsidR="00A73BBA" w:rsidRDefault="00000000">
      <w:pPr>
        <w:spacing w:after="200" w:line="276" w:lineRule="auto"/>
      </w:pPr>
      <w:r>
        <w:rPr>
          <w:rFonts w:ascii="Calibri" w:eastAsia="Calibri" w:hAnsi="Calibri" w:cs="Calibri"/>
          <w:b/>
          <w:bCs/>
          <w:sz w:val="22"/>
          <w:szCs w:val="22"/>
        </w:rPr>
        <w:t xml:space="preserve">Why it matters: </w:t>
      </w:r>
      <w:r>
        <w:rPr>
          <w:rFonts w:ascii="Calibri" w:eastAsia="Calibri" w:hAnsi="Calibri" w:cs="Calibri"/>
          <w:sz w:val="22"/>
          <w:szCs w:val="22"/>
        </w:rPr>
        <w:t xml:space="preserve">Where full documentation isn’t accessible, the scope and reliability of the government backstop </w:t>
      </w:r>
      <w:proofErr w:type="gramStart"/>
      <w:r>
        <w:rPr>
          <w:rFonts w:ascii="Calibri" w:eastAsia="Calibri" w:hAnsi="Calibri" w:cs="Calibri"/>
          <w:sz w:val="22"/>
          <w:szCs w:val="22"/>
        </w:rPr>
        <w:t>has</w:t>
      </w:r>
      <w:proofErr w:type="gramEnd"/>
      <w:r>
        <w:rPr>
          <w:rFonts w:ascii="Calibri" w:eastAsia="Calibri" w:hAnsi="Calibri" w:cs="Calibri"/>
          <w:sz w:val="22"/>
          <w:szCs w:val="22"/>
        </w:rPr>
        <w:t xml:space="preserve"> to be assessed with less certainty than the headline rating implies. That is itself an input into </w:t>
      </w:r>
      <w:proofErr w:type="gramStart"/>
      <w:r>
        <w:rPr>
          <w:rFonts w:ascii="Calibri" w:eastAsia="Calibri" w:hAnsi="Calibri" w:cs="Calibri"/>
          <w:sz w:val="22"/>
          <w:szCs w:val="22"/>
        </w:rPr>
        <w:t>guarantee</w:t>
      </w:r>
      <w:proofErr w:type="gramEnd"/>
      <w:r>
        <w:rPr>
          <w:rFonts w:ascii="Calibri" w:eastAsia="Calibri" w:hAnsi="Calibri" w:cs="Calibri"/>
          <w:sz w:val="22"/>
          <w:szCs w:val="22"/>
        </w:rPr>
        <w:t xml:space="preserve"> quality, not a footnote to it.</w:t>
      </w:r>
    </w:p>
    <w:p w14:paraId="68066CFA" w14:textId="77777777" w:rsidR="00A73BBA" w:rsidRDefault="00000000">
      <w:pPr>
        <w:pStyle w:val="Heading1"/>
        <w:spacing w:before="360" w:after="160"/>
      </w:pPr>
      <w:r>
        <w:rPr>
          <w:rFonts w:ascii="Calibri" w:eastAsia="Calibri" w:hAnsi="Calibri" w:cs="Calibri"/>
          <w:b/>
          <w:bCs/>
          <w:color w:val="1F3864"/>
          <w:sz w:val="26"/>
          <w:szCs w:val="26"/>
        </w:rPr>
        <w:t>The scale: poor, moderate, strong</w:t>
      </w:r>
    </w:p>
    <w:p w14:paraId="598FA649" w14:textId="77777777" w:rsidR="00A73BBA" w:rsidRDefault="00000000">
      <w:pPr>
        <w:pStyle w:val="Heading2"/>
        <w:spacing w:before="260" w:after="120"/>
      </w:pPr>
      <w:r>
        <w:rPr>
          <w:rFonts w:ascii="Calibri" w:eastAsia="Calibri" w:hAnsi="Calibri" w:cs="Calibri"/>
          <w:b/>
          <w:bCs/>
          <w:color w:val="2E5395"/>
          <w:sz w:val="24"/>
          <w:szCs w:val="24"/>
        </w:rPr>
        <w:t>Poor</w:t>
      </w:r>
    </w:p>
    <w:p w14:paraId="76EB14D5" w14:textId="77777777" w:rsidR="00A73BBA" w:rsidRDefault="00000000">
      <w:pPr>
        <w:pStyle w:val="ListParagraph"/>
        <w:numPr>
          <w:ilvl w:val="0"/>
          <w:numId w:val="2"/>
        </w:numPr>
        <w:spacing w:after="100" w:line="276" w:lineRule="auto"/>
      </w:pPr>
      <w:r>
        <w:rPr>
          <w:rFonts w:ascii="Calibri" w:eastAsia="Calibri" w:hAnsi="Calibri" w:cs="Calibri"/>
          <w:sz w:val="22"/>
          <w:szCs w:val="22"/>
        </w:rPr>
        <w:t>Implicit backing only, inferred from state ownership rather than a signed instrument</w:t>
      </w:r>
    </w:p>
    <w:p w14:paraId="338B392C" w14:textId="77777777" w:rsidR="00A73BBA" w:rsidRDefault="00000000">
      <w:pPr>
        <w:pStyle w:val="ListParagraph"/>
        <w:numPr>
          <w:ilvl w:val="0"/>
          <w:numId w:val="2"/>
        </w:numPr>
        <w:spacing w:after="100" w:line="276" w:lineRule="auto"/>
      </w:pPr>
      <w:r>
        <w:rPr>
          <w:rFonts w:ascii="Calibri" w:eastAsia="Calibri" w:hAnsi="Calibri" w:cs="Calibri"/>
          <w:sz w:val="22"/>
          <w:szCs w:val="22"/>
        </w:rPr>
        <w:t>Local law, no immunity waiver</w:t>
      </w:r>
    </w:p>
    <w:p w14:paraId="7F1D2852" w14:textId="77777777" w:rsidR="00A73BBA" w:rsidRDefault="00000000">
      <w:pPr>
        <w:pStyle w:val="ListParagraph"/>
        <w:numPr>
          <w:ilvl w:val="0"/>
          <w:numId w:val="2"/>
        </w:numPr>
        <w:spacing w:after="100" w:line="276" w:lineRule="auto"/>
      </w:pPr>
      <w:r>
        <w:rPr>
          <w:rFonts w:ascii="Calibri" w:eastAsia="Calibri" w:hAnsi="Calibri" w:cs="Calibri"/>
          <w:sz w:val="22"/>
          <w:szCs w:val="22"/>
        </w:rPr>
        <w:t>Guarantee of collection where any formal guarantee exists at all</w:t>
      </w:r>
    </w:p>
    <w:p w14:paraId="1CA0BBBD" w14:textId="77777777" w:rsidR="00A73BBA" w:rsidRDefault="00000000">
      <w:pPr>
        <w:pStyle w:val="ListParagraph"/>
        <w:numPr>
          <w:ilvl w:val="0"/>
          <w:numId w:val="2"/>
        </w:numPr>
        <w:spacing w:after="100" w:line="276" w:lineRule="auto"/>
      </w:pPr>
      <w:r>
        <w:rPr>
          <w:rFonts w:ascii="Calibri" w:eastAsia="Calibri" w:hAnsi="Calibri" w:cs="Calibri"/>
          <w:sz w:val="22"/>
          <w:szCs w:val="22"/>
        </w:rPr>
        <w:t>Payment routed through a domestic ministry or agency</w:t>
      </w:r>
    </w:p>
    <w:p w14:paraId="5D4F155B" w14:textId="77777777" w:rsidR="00A73BBA" w:rsidRDefault="00000000">
      <w:pPr>
        <w:pStyle w:val="ListParagraph"/>
        <w:numPr>
          <w:ilvl w:val="0"/>
          <w:numId w:val="2"/>
        </w:numPr>
        <w:spacing w:after="100" w:line="276" w:lineRule="auto"/>
      </w:pPr>
      <w:r>
        <w:rPr>
          <w:rFonts w:ascii="Calibri" w:eastAsia="Calibri" w:hAnsi="Calibri" w:cs="Calibri"/>
          <w:sz w:val="22"/>
          <w:szCs w:val="22"/>
        </w:rPr>
        <w:t>Same currency as the issuer, no external guarantor involved</w:t>
      </w:r>
    </w:p>
    <w:p w14:paraId="3DF319C7" w14:textId="77777777" w:rsidR="00A73BBA" w:rsidRDefault="00000000">
      <w:pPr>
        <w:spacing w:after="200" w:line="276" w:lineRule="auto"/>
      </w:pPr>
      <w:r>
        <w:rPr>
          <w:rFonts w:ascii="Calibri" w:eastAsia="Calibri" w:hAnsi="Calibri" w:cs="Calibri"/>
          <w:b/>
          <w:bCs/>
          <w:i/>
          <w:iCs/>
          <w:sz w:val="22"/>
          <w:szCs w:val="22"/>
        </w:rPr>
        <w:t xml:space="preserve">Egypt example: </w:t>
      </w:r>
      <w:r>
        <w:rPr>
          <w:rFonts w:ascii="Calibri" w:eastAsia="Calibri" w:hAnsi="Calibri" w:cs="Calibri"/>
          <w:i/>
          <w:iCs/>
          <w:sz w:val="22"/>
          <w:szCs w:val="22"/>
        </w:rPr>
        <w:t>EGPC’s arrears to international oil companies. There is no bond structure, but it is the clearest illustration of implicit sovereign backing failing to translate into enforceable protection under stress.</w:t>
      </w:r>
    </w:p>
    <w:p w14:paraId="3230B957" w14:textId="77777777" w:rsidR="00A73BBA" w:rsidRDefault="00000000">
      <w:pPr>
        <w:pStyle w:val="Heading2"/>
        <w:spacing w:before="260" w:after="120"/>
      </w:pPr>
      <w:r>
        <w:rPr>
          <w:rFonts w:ascii="Calibri" w:eastAsia="Calibri" w:hAnsi="Calibri" w:cs="Calibri"/>
          <w:b/>
          <w:bCs/>
          <w:color w:val="2E5395"/>
          <w:sz w:val="24"/>
          <w:szCs w:val="24"/>
        </w:rPr>
        <w:t>Moderate</w:t>
      </w:r>
    </w:p>
    <w:p w14:paraId="1243147A" w14:textId="77777777" w:rsidR="00A73BBA" w:rsidRDefault="00000000">
      <w:pPr>
        <w:pStyle w:val="ListParagraph"/>
        <w:numPr>
          <w:ilvl w:val="0"/>
          <w:numId w:val="2"/>
        </w:numPr>
        <w:spacing w:after="100" w:line="276" w:lineRule="auto"/>
      </w:pPr>
      <w:r>
        <w:rPr>
          <w:rFonts w:ascii="Calibri" w:eastAsia="Calibri" w:hAnsi="Calibri" w:cs="Calibri"/>
          <w:sz w:val="22"/>
          <w:szCs w:val="22"/>
        </w:rPr>
        <w:t>Explicit but conditional guarantee, triggered only by specific events rather than blanket non-payment coverage</w:t>
      </w:r>
    </w:p>
    <w:p w14:paraId="327545F1" w14:textId="77777777" w:rsidR="00A73BBA" w:rsidRDefault="00000000">
      <w:pPr>
        <w:pStyle w:val="ListParagraph"/>
        <w:numPr>
          <w:ilvl w:val="0"/>
          <w:numId w:val="2"/>
        </w:numPr>
        <w:spacing w:after="100" w:line="276" w:lineRule="auto"/>
      </w:pPr>
      <w:r>
        <w:rPr>
          <w:rFonts w:ascii="Calibri" w:eastAsia="Calibri" w:hAnsi="Calibri" w:cs="Calibri"/>
          <w:sz w:val="22"/>
          <w:szCs w:val="22"/>
        </w:rPr>
        <w:t>Local law, with some procedural protections</w:t>
      </w:r>
    </w:p>
    <w:p w14:paraId="5808FC2D" w14:textId="77777777" w:rsidR="00A73BBA" w:rsidRDefault="00000000">
      <w:pPr>
        <w:pStyle w:val="ListParagraph"/>
        <w:numPr>
          <w:ilvl w:val="0"/>
          <w:numId w:val="2"/>
        </w:numPr>
        <w:spacing w:after="100" w:line="276" w:lineRule="auto"/>
      </w:pPr>
      <w:r>
        <w:rPr>
          <w:rFonts w:ascii="Calibri" w:eastAsia="Calibri" w:hAnsi="Calibri" w:cs="Calibri"/>
          <w:sz w:val="22"/>
          <w:szCs w:val="22"/>
        </w:rPr>
        <w:t>Guarantee of payment, but scope limited to principal only, or partial coverage</w:t>
      </w:r>
    </w:p>
    <w:p w14:paraId="6BBF2B14" w14:textId="77777777" w:rsidR="00A73BBA" w:rsidRDefault="00000000">
      <w:pPr>
        <w:pStyle w:val="ListParagraph"/>
        <w:numPr>
          <w:ilvl w:val="0"/>
          <w:numId w:val="2"/>
        </w:numPr>
        <w:spacing w:after="100" w:line="276" w:lineRule="auto"/>
      </w:pPr>
      <w:r>
        <w:rPr>
          <w:rFonts w:ascii="Calibri" w:eastAsia="Calibri" w:hAnsi="Calibri" w:cs="Calibri"/>
          <w:sz w:val="22"/>
          <w:szCs w:val="22"/>
        </w:rPr>
        <w:t>Some currency mismatch or conversion risk in the payment mechanism</w:t>
      </w:r>
    </w:p>
    <w:p w14:paraId="1FE48B37" w14:textId="77777777" w:rsidR="00A73BBA" w:rsidRDefault="00000000">
      <w:pPr>
        <w:spacing w:after="200" w:line="276" w:lineRule="auto"/>
      </w:pPr>
      <w:r>
        <w:rPr>
          <w:rFonts w:ascii="Calibri" w:eastAsia="Calibri" w:hAnsi="Calibri" w:cs="Calibri"/>
          <w:b/>
          <w:bCs/>
          <w:i/>
          <w:iCs/>
          <w:sz w:val="22"/>
          <w:szCs w:val="22"/>
        </w:rPr>
        <w:lastRenderedPageBreak/>
        <w:t xml:space="preserve">Note on examples at this tier: </w:t>
      </w:r>
      <w:r>
        <w:rPr>
          <w:rFonts w:ascii="Calibri" w:eastAsia="Calibri" w:hAnsi="Calibri" w:cs="Calibri"/>
          <w:i/>
          <w:iCs/>
          <w:sz w:val="22"/>
          <w:szCs w:val="22"/>
        </w:rPr>
        <w:t xml:space="preserve">most Egyptian foreign-currency SOE issuance sits at either the poor end (no explicit guarantee) or the strong end (fully structured multilateral PCG). There isn’t a clean, well-documented public case sitting squarely in the middle. A constructed, explicitly labelled hypothetical (a </w:t>
      </w:r>
      <w:proofErr w:type="gramStart"/>
      <w:r>
        <w:rPr>
          <w:rFonts w:ascii="Calibri" w:eastAsia="Calibri" w:hAnsi="Calibri" w:cs="Calibri"/>
          <w:i/>
          <w:iCs/>
          <w:sz w:val="22"/>
          <w:szCs w:val="22"/>
        </w:rPr>
        <w:t>locally-governed</w:t>
      </w:r>
      <w:proofErr w:type="gramEnd"/>
      <w:r>
        <w:rPr>
          <w:rFonts w:ascii="Calibri" w:eastAsia="Calibri" w:hAnsi="Calibri" w:cs="Calibri"/>
          <w:i/>
          <w:iCs/>
          <w:sz w:val="22"/>
          <w:szCs w:val="22"/>
        </w:rPr>
        <w:t xml:space="preserve"> guarantee with a payment-of-collection standard) illustrates the mechanics honestly without overclaiming a real precedent.</w:t>
      </w:r>
    </w:p>
    <w:p w14:paraId="1DBD7481" w14:textId="77777777" w:rsidR="00A73BBA" w:rsidRDefault="00000000">
      <w:pPr>
        <w:pStyle w:val="Heading2"/>
        <w:spacing w:before="260" w:after="120"/>
      </w:pPr>
      <w:r>
        <w:rPr>
          <w:rFonts w:ascii="Calibri" w:eastAsia="Calibri" w:hAnsi="Calibri" w:cs="Calibri"/>
          <w:b/>
          <w:bCs/>
          <w:color w:val="2E5395"/>
          <w:sz w:val="24"/>
          <w:szCs w:val="24"/>
        </w:rPr>
        <w:t>Strong</w:t>
      </w:r>
    </w:p>
    <w:p w14:paraId="082B4332" w14:textId="77777777" w:rsidR="00A73BBA" w:rsidRDefault="00000000">
      <w:pPr>
        <w:pStyle w:val="ListParagraph"/>
        <w:numPr>
          <w:ilvl w:val="0"/>
          <w:numId w:val="2"/>
        </w:numPr>
        <w:spacing w:after="100" w:line="276" w:lineRule="auto"/>
      </w:pPr>
      <w:r>
        <w:rPr>
          <w:rFonts w:ascii="Calibri" w:eastAsia="Calibri" w:hAnsi="Calibri" w:cs="Calibri"/>
          <w:sz w:val="22"/>
          <w:szCs w:val="22"/>
        </w:rPr>
        <w:t>Explicit, unconditional, irrevocable</w:t>
      </w:r>
    </w:p>
    <w:p w14:paraId="7EBD8FD4" w14:textId="77777777" w:rsidR="00A73BBA" w:rsidRDefault="00000000">
      <w:pPr>
        <w:pStyle w:val="ListParagraph"/>
        <w:numPr>
          <w:ilvl w:val="0"/>
          <w:numId w:val="2"/>
        </w:numPr>
        <w:spacing w:after="100" w:line="276" w:lineRule="auto"/>
      </w:pPr>
      <w:r>
        <w:rPr>
          <w:rFonts w:ascii="Calibri" w:eastAsia="Calibri" w:hAnsi="Calibri" w:cs="Calibri"/>
          <w:sz w:val="22"/>
          <w:szCs w:val="22"/>
        </w:rPr>
        <w:t>Foreign law, or a multilateral-governed structure, with a credible immunity waiver</w:t>
      </w:r>
    </w:p>
    <w:p w14:paraId="4943C0D6" w14:textId="77777777" w:rsidR="00A73BBA" w:rsidRDefault="00000000">
      <w:pPr>
        <w:pStyle w:val="ListParagraph"/>
        <w:numPr>
          <w:ilvl w:val="0"/>
          <w:numId w:val="2"/>
        </w:numPr>
        <w:spacing w:after="100" w:line="276" w:lineRule="auto"/>
      </w:pPr>
      <w:r>
        <w:rPr>
          <w:rFonts w:ascii="Calibri" w:eastAsia="Calibri" w:hAnsi="Calibri" w:cs="Calibri"/>
          <w:sz w:val="22"/>
          <w:szCs w:val="22"/>
        </w:rPr>
        <w:t>Guarantee of payment, direct and immediate</w:t>
      </w:r>
    </w:p>
    <w:p w14:paraId="47499F25" w14:textId="77777777" w:rsidR="00A73BBA" w:rsidRDefault="00000000">
      <w:pPr>
        <w:pStyle w:val="ListParagraph"/>
        <w:numPr>
          <w:ilvl w:val="0"/>
          <w:numId w:val="2"/>
        </w:numPr>
        <w:spacing w:after="100" w:line="276" w:lineRule="auto"/>
      </w:pPr>
      <w:r>
        <w:rPr>
          <w:rFonts w:ascii="Calibri" w:eastAsia="Calibri" w:hAnsi="Calibri" w:cs="Calibri"/>
          <w:sz w:val="22"/>
          <w:szCs w:val="22"/>
        </w:rPr>
        <w:t>Independently rated guarantor at AA+ or better</w:t>
      </w:r>
    </w:p>
    <w:p w14:paraId="6E6B1A44" w14:textId="77777777" w:rsidR="00A73BBA" w:rsidRDefault="00000000">
      <w:pPr>
        <w:pStyle w:val="ListParagraph"/>
        <w:numPr>
          <w:ilvl w:val="0"/>
          <w:numId w:val="2"/>
        </w:numPr>
        <w:spacing w:after="100" w:line="276" w:lineRule="auto"/>
      </w:pPr>
      <w:r>
        <w:rPr>
          <w:rFonts w:ascii="Calibri" w:eastAsia="Calibri" w:hAnsi="Calibri" w:cs="Calibri"/>
          <w:sz w:val="22"/>
          <w:szCs w:val="22"/>
        </w:rPr>
        <w:t>Structured payment mechanism with minimal routing risk</w:t>
      </w:r>
    </w:p>
    <w:p w14:paraId="1DDB9C04" w14:textId="77777777" w:rsidR="00A73BBA" w:rsidRDefault="00000000">
      <w:pPr>
        <w:spacing w:after="200" w:line="276" w:lineRule="auto"/>
      </w:pPr>
      <w:r>
        <w:rPr>
          <w:rFonts w:ascii="Calibri" w:eastAsia="Calibri" w:hAnsi="Calibri" w:cs="Calibri"/>
          <w:b/>
          <w:bCs/>
          <w:i/>
          <w:iCs/>
          <w:sz w:val="22"/>
          <w:szCs w:val="22"/>
        </w:rPr>
        <w:t xml:space="preserve">Egypt example: </w:t>
      </w:r>
      <w:r>
        <w:rPr>
          <w:rFonts w:ascii="Calibri" w:eastAsia="Calibri" w:hAnsi="Calibri" w:cs="Calibri"/>
          <w:i/>
          <w:iCs/>
          <w:sz w:val="22"/>
          <w:szCs w:val="22"/>
        </w:rPr>
        <w:t>the AfDB-backed sustainability samurai bond. It carries an explicit partial credit guarantee from a AAA-rated multilateral, a foreign-governed structure, and a direct payment mechanism, resulting in AA+/AA tranche ratings.</w:t>
      </w:r>
    </w:p>
    <w:p w14:paraId="0CFCFBEE" w14:textId="77777777" w:rsidR="00A73BBA" w:rsidRDefault="00000000">
      <w:pPr>
        <w:spacing w:after="200" w:line="276" w:lineRule="auto"/>
      </w:pPr>
      <w:r>
        <w:rPr>
          <w:rFonts w:ascii="Calibri" w:eastAsia="Calibri" w:hAnsi="Calibri" w:cs="Calibri"/>
          <w:sz w:val="22"/>
          <w:szCs w:val="22"/>
        </w:rPr>
        <w:t>The caveat that applies across every tier: this scale measures guarantee mechanics and enforceability (how well-structured and reliable the promise itself is), not the degree of credit substitution achieved. A bond can sit at the strong end of this scale on mechanics while still only achieving partial substitution of the underlying issuer’s credit risk, because the guarantee itself is scoped as partial. Keeping these as two separate questions, rather than collapsing them into a single “strong guarantee equals safe bond” conclusion, is the difference between a rigorous framework and a naive one.</w:t>
      </w:r>
    </w:p>
    <w:sectPr w:rsidR="00A73BB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B4623"/>
    <w:multiLevelType w:val="hybridMultilevel"/>
    <w:tmpl w:val="FCDAE1DC"/>
    <w:lvl w:ilvl="0" w:tplc="66009A1E">
      <w:start w:val="1"/>
      <w:numFmt w:val="bullet"/>
      <w:lvlText w:val="•"/>
      <w:lvlJc w:val="left"/>
      <w:pPr>
        <w:ind w:left="504" w:hanging="288"/>
      </w:pPr>
    </w:lvl>
    <w:lvl w:ilvl="1" w:tplc="F676ABD2">
      <w:start w:val="1"/>
      <w:numFmt w:val="bullet"/>
      <w:lvlText w:val="◦"/>
      <w:lvlJc w:val="left"/>
      <w:pPr>
        <w:ind w:left="1008" w:hanging="288"/>
      </w:pPr>
    </w:lvl>
    <w:lvl w:ilvl="2" w:tplc="42D2EC88">
      <w:numFmt w:val="decimal"/>
      <w:lvlText w:val=""/>
      <w:lvlJc w:val="left"/>
    </w:lvl>
    <w:lvl w:ilvl="3" w:tplc="D1A664C2">
      <w:numFmt w:val="decimal"/>
      <w:lvlText w:val=""/>
      <w:lvlJc w:val="left"/>
    </w:lvl>
    <w:lvl w:ilvl="4" w:tplc="FCAE27A8">
      <w:numFmt w:val="decimal"/>
      <w:lvlText w:val=""/>
      <w:lvlJc w:val="left"/>
    </w:lvl>
    <w:lvl w:ilvl="5" w:tplc="9AF2D25E">
      <w:numFmt w:val="decimal"/>
      <w:lvlText w:val=""/>
      <w:lvlJc w:val="left"/>
    </w:lvl>
    <w:lvl w:ilvl="6" w:tplc="F09E81FE">
      <w:numFmt w:val="decimal"/>
      <w:lvlText w:val=""/>
      <w:lvlJc w:val="left"/>
    </w:lvl>
    <w:lvl w:ilvl="7" w:tplc="5FEECCF4">
      <w:numFmt w:val="decimal"/>
      <w:lvlText w:val=""/>
      <w:lvlJc w:val="left"/>
    </w:lvl>
    <w:lvl w:ilvl="8" w:tplc="3378F1D8">
      <w:numFmt w:val="decimal"/>
      <w:lvlText w:val=""/>
      <w:lvlJc w:val="left"/>
    </w:lvl>
  </w:abstractNum>
  <w:abstractNum w:abstractNumId="1" w15:restartNumberingAfterBreak="0">
    <w:nsid w:val="2F0043DD"/>
    <w:multiLevelType w:val="hybridMultilevel"/>
    <w:tmpl w:val="92485500"/>
    <w:lvl w:ilvl="0" w:tplc="3E0A7666">
      <w:start w:val="1"/>
      <w:numFmt w:val="bullet"/>
      <w:lvlText w:val="●"/>
      <w:lvlJc w:val="left"/>
      <w:pPr>
        <w:ind w:left="720" w:hanging="360"/>
      </w:pPr>
    </w:lvl>
    <w:lvl w:ilvl="1" w:tplc="9182C2EC">
      <w:start w:val="1"/>
      <w:numFmt w:val="bullet"/>
      <w:lvlText w:val="○"/>
      <w:lvlJc w:val="left"/>
      <w:pPr>
        <w:ind w:left="1440" w:hanging="360"/>
      </w:pPr>
    </w:lvl>
    <w:lvl w:ilvl="2" w:tplc="571EAA08">
      <w:start w:val="1"/>
      <w:numFmt w:val="bullet"/>
      <w:lvlText w:val="■"/>
      <w:lvlJc w:val="left"/>
      <w:pPr>
        <w:ind w:left="2160" w:hanging="360"/>
      </w:pPr>
    </w:lvl>
    <w:lvl w:ilvl="3" w:tplc="77D4A0B8">
      <w:start w:val="1"/>
      <w:numFmt w:val="bullet"/>
      <w:lvlText w:val="●"/>
      <w:lvlJc w:val="left"/>
      <w:pPr>
        <w:ind w:left="2880" w:hanging="360"/>
      </w:pPr>
    </w:lvl>
    <w:lvl w:ilvl="4" w:tplc="5C3CC184">
      <w:start w:val="1"/>
      <w:numFmt w:val="bullet"/>
      <w:lvlText w:val="○"/>
      <w:lvlJc w:val="left"/>
      <w:pPr>
        <w:ind w:left="3600" w:hanging="360"/>
      </w:pPr>
    </w:lvl>
    <w:lvl w:ilvl="5" w:tplc="6EF41466">
      <w:start w:val="1"/>
      <w:numFmt w:val="bullet"/>
      <w:lvlText w:val="■"/>
      <w:lvlJc w:val="left"/>
      <w:pPr>
        <w:ind w:left="4320" w:hanging="360"/>
      </w:pPr>
    </w:lvl>
    <w:lvl w:ilvl="6" w:tplc="F71A6872">
      <w:start w:val="1"/>
      <w:numFmt w:val="bullet"/>
      <w:lvlText w:val="●"/>
      <w:lvlJc w:val="left"/>
      <w:pPr>
        <w:ind w:left="5040" w:hanging="360"/>
      </w:pPr>
    </w:lvl>
    <w:lvl w:ilvl="7" w:tplc="351CE44E">
      <w:start w:val="1"/>
      <w:numFmt w:val="bullet"/>
      <w:lvlText w:val="●"/>
      <w:lvlJc w:val="left"/>
      <w:pPr>
        <w:ind w:left="5760" w:hanging="360"/>
      </w:pPr>
    </w:lvl>
    <w:lvl w:ilvl="8" w:tplc="2DE4082E">
      <w:start w:val="1"/>
      <w:numFmt w:val="bullet"/>
      <w:lvlText w:val="●"/>
      <w:lvlJc w:val="left"/>
      <w:pPr>
        <w:ind w:left="6480" w:hanging="360"/>
      </w:pPr>
    </w:lvl>
  </w:abstractNum>
  <w:num w:numId="1" w16cid:durableId="1672366129">
    <w:abstractNumId w:val="1"/>
    <w:lvlOverride w:ilvl="0">
      <w:startOverride w:val="1"/>
    </w:lvlOverride>
  </w:num>
  <w:num w:numId="2" w16cid:durableId="28293203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3BBA"/>
    <w:rsid w:val="00341634"/>
    <w:rsid w:val="00A73BBA"/>
    <w:rsid w:val="00E372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0E4F1C2"/>
  <w15:docId w15:val="{3DC0D87A-2D8C-6D49-BDA0-270707B05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2135</Words>
  <Characters>12170</Characters>
  <Application>Microsoft Office Word</Application>
  <DocSecurity>0</DocSecurity>
  <Lines>101</Lines>
  <Paragraphs>28</Paragraphs>
  <ScaleCrop>false</ScaleCrop>
  <Company/>
  <LinksUpToDate>false</LinksUpToDate>
  <CharactersWithSpaces>14277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Ashraf8,S (pgt)</cp:lastModifiedBy>
  <cp:revision>2</cp:revision>
  <dcterms:created xsi:type="dcterms:W3CDTF">2026-07-07T14:43:00Z</dcterms:created>
  <dcterms:modified xsi:type="dcterms:W3CDTF">2026-07-07T14:43:00Z</dcterms:modified>
</cp:coreProperties>
</file>