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42810"/>
          <w:spacing w:val="40"/>
          <w:sz w:val="20"/>
          <w:szCs w:val="20"/>
        </w:rPr>
        <w:t xml:space="preserve">YAMUNA SKY CITY — WEBSITE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111"/>
          <w:sz w:val="40"/>
          <w:szCs w:val="40"/>
        </w:rPr>
        <w:t xml:space="preserve">CRM Integration: Confirmations Required from the CRM Developer</w:t>
      </w:r>
    </w:p>
    <w:p>
      <w:pPr>
        <w:pBdr>
          <w:bottom w:val="single" w:color="B42810" w:sz="12" w:space="8"/>
        </w:pBdr>
        <w:spacing w:after="24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Prepared by the website team (pc-productions) · 7 September 2026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Purpose: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confirm the details the website team still needs so that website enquiries land in the CRM reliably and completely.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fills this in: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Who receives it: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team (pc-productions).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Where things stand: 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has shared the webhook and the four fields it needs (lead name, email, phone number, inquired project name). The website already sends exactly that. What remains is a short list of confirmations so nothing is guessed. Please answer every item; where one does not apply, write “N/A” with a one-line reason.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0. Immediate action required — activate the workflow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webhook is currently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not live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. A test enquiry from the website on 7 September 2026 was rejected, and opening the URL directly returns n8n's “not registered” error: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{"code":404,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"message":"The requested webhook \"GET yamuna-google-ads\" is not registered.",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"hint":"The workflow must be active for a production URL to run successfully. You can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activate the workflow using the toggle in the top-right of the editor. Note that unlike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test URL calls, production URL calls aren't shown on the canvas (only in the executions list)"}</w:t>
      </w:r>
    </w:p>
    <w:p>
      <w:pPr>
        <w:spacing w:after="6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This is n8n's message for a workflow that is switched off (an active workflow that simply does not accept GET says “not registered for GET requests” instead). </w:t>
      </w:r>
      <w:r>
        <w:rPr>
          <w:rFonts w:ascii="Calibri" w:cs="Calibri" w:eastAsia="Calibri" w:hAnsi="Calibri"/>
          <w:b/>
          <w:bCs/>
          <w:color w:val="111111"/>
          <w:sz w:val="22"/>
          <w:szCs w:val="22"/>
        </w:rPr>
        <w:t xml:space="preserve">Please activate the workflow</w:t>
      </w:r>
      <w:r>
        <w:rPr>
          <w:rFonts w:ascii="Calibri" w:cs="Calibri" w:eastAsia="Calibri" w:hAnsi="Calibri"/>
          <w:color w:val="111111"/>
          <w:sz w:val="22"/>
          <w:szCs w:val="22"/>
        </w:rPr>
        <w:t xml:space="preserve"> using the toggle in the top-right of the n8n editor so the production URL /webhook/yamuna-google-ads accepts requests, then let the website team know. The website will immediately start delivering leads — no change or redeploy is needed on the website side. Production calls appear in n8n's Executions list, not on the canvas.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1. What is agreed and already implemented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Item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Endpoint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https://n8n.thesparksocial.in/webhook/yamuna-google-ads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Method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POST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Content type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application/json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Sent from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website's own server — never the visitor's browser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Success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HTTP 2xx response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Attempts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One per submission, 10-second wait, no automatic retry. If the webhook fails, the visitor is asked to submit once more; that resubmit carries the same lead_id (and details.attempt: 2), so you can treat a repeated lead_id as a duplicate</w:t>
            </w:r>
          </w:p>
        </w:tc>
      </w:tr>
      <w:tr>
        <w:tc>
          <w:tcPr>
            <w:tcW w:type="dxa" w:w="2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Visitor experience</w:t>
            </w:r>
          </w:p>
        </w:tc>
        <w:tc>
          <w:tcPr>
            <w:tcW w:type="dxa" w:w="7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thank-you screen is shown when the webhook answers 2xx; on a failure the form stays filled and asks the visitor to try again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Exact body the website sends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"name":    "Visitor name",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"email":   "visitor@example.com",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"phone":   "+91 98765 43210",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"project": "Yamuna Sky City",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"details":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"lead_id": "YSC-20260908-7K3Q9F2M",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"city": "Mangalore",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"source":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"ui": "modal",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"utm_source": "google",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"utm_medium": "cpc",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"utm_campaign": "launch",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"utm_term":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"utm_content": "",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"referrer": "https://www.google.com/",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"landing_page": "/?utm_source=google&amp;utm_medium=cpc&amp;utm_campaign=launch"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"consent": {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"agreed": true,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"text": "I agree to be contacted by Yamuna Sky City regarding this enquiry.",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  "recordedAt": "2026-09-07T09:48:01.212Z"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},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"submittedAt": "2026-09-07T09:48:01.212Z",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"attempt": 1,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  "site": "yamuna-sky-city-website"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  }</w:t>
      </w:r>
    </w:p>
    <w:p>
      <w:pPr>
        <w:shd w:fill="F4F4F4" w:color="auto" w:val="clear"/>
        <w:spacing w:after="0" w:line="260"/>
        <w:ind w:left="360"/>
      </w:pPr>
      <w:r>
        <w:rPr>
          <w:rFonts w:ascii="Consolas" w:cs="Consolas" w:eastAsia="Consolas" w:hAnsi="Consolas"/>
          <w:color w:val="111111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/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Key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lead_id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Website-issued reference (YSC-YYYYMMDD-XXXXXXXX), unique per lead. Optional for you — ignore it if the workflow has no use for it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name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up to 200 characters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email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validated format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Required; as typed by the visitor (7–15 digits; optional + or 00; spaces, dashes and brackets allowed)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project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Always "Yamuna Sky City"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details.city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Optional free text; may be empty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details.source.ui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"modal" or "contact-section" — where on the site the form was used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details.source.utm_*, referrer, landing_page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First-touch marketing attribution for the session; keys are omitted when not captured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details.consent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Consent flag, the exact wording agreed to, and when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details.submittedAt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Server time, ISO-8601</w:t>
            </w:r>
          </w:p>
        </w:tc>
      </w:tr>
      <w:tr>
        <w:tc>
          <w:tcPr>
            <w:tcW w:type="dxa" w:w="32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details.attempt</w:t>
            </w:r>
          </w:p>
        </w:tc>
        <w:tc>
          <w:tcPr>
            <w:tcW w:type="dxa" w:w="64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1 normally; 2 when the visitor resubmitted after a failed attempt (same lead_id)</w:t>
            </w:r>
          </w:p>
        </w:tc>
      </w:tr>
    </w:tbl>
    <w:p>
      <w:pPr>
        <w:spacing w:before="12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details object can be ignored by the workflow if not needed; it is included so attribution and consent are not lost.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2. Please confirm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A. Field names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the top-level keys name, email, phone, project match what the n8n workflow reads? If not, give the exact keys.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name be split into first and last name?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Phone format — as typed is fine, or do you need E.164 (+919876543210), digits only, or a separate country code?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any field required that the website does not send (budget, unit type, message, etc.)? Adding one is a visible form change and needs client approval.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fixed values you need on every lead (campaign ID, source ID, owner, pipeline/stage)? Give the exact values.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The endpoint is named google-ads. Does the workflow expect the Google Ads lead-form webhook schema (user_column_data, lead_id, google_key, …) rather than the flat body above? If yes, please share a sample payload it accepts.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B. Security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the webhook meant to be unauthenticated? If a token or secret should be sent, give the header name and how the value is issued (via a secure channel — not email or chat).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Should requests carry any other identifying header (e.g. X-Source: website)?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B3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Any IP allow-list? The website runs on Vercel, whose outbound IPs are not fixed — please say if this is a requirement.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C. Response and errors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What does the webhook return on success (status + sample body)? Is there a lead / record ID we should keep?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Can it return 200 with an error inside the body? If so, how do we detect it? (We treat any 2xx as accepted.)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Status code and body on validation failure (e.g. bad phone) and on system failure.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lead creation synchronous (created when we get 2xx) or queued?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C5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Typical and maximum response time? Is our 10-second wait acceptable?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D. Duplicates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the same email or phone is submitted again — new lead, merged, or rejected? Which field decides?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a duplicate reported as success or as an error (status + body)?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Do you support an idempotency key header so a safe retry never creates a duplicate? Header name.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D4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our request times out on our side but you received it, is the lead still created?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E. Environments and testing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Is this single URL production? Is there a separate test/staging URL?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May we send test leads to it? Agree a marker so they can be found and deleted — proposed: name starting with “TEST -”.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do we verify a test lead arrived (CRM access for the website team, or a confirmation from you)?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Rate limits, if any, and the response when exceeded.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E5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How will you notify us before the URL, fields or workflow change?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E6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Support contact for integration issues after launch.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11111"/>
          <w:sz w:val="25"/>
          <w:szCs w:val="25"/>
        </w:rPr>
        <w:t xml:space="preserve">F. Brochure</w:t>
      </w:r>
    </w:p>
    <w:p>
      <w:pPr>
        <w:spacing w:after="12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website shows a brochure download only after the lead is accepted.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800"/>
        <w:gridCol w:w="3100"/>
      </w:tblGrid>
      <w:tr>
        <w:trPr>
          <w:tblHeader/>
        </w:trP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#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Question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shd w:fill="F7F0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B42810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F1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Who delivers the brochure? (a) website hosts the PDF and shows a download; (b) CRM/workflow emails or WhatsApps it; (c) the webhook returns a URL in its response; (d) combination.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F2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(c): field name of the URL, whether it expires, whether it needs authentication.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F3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(b): expected delay before the visitor receives it, so our on-screen message is accurate.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F4</w:t>
            </w:r>
          </w:p>
        </w:tc>
        <w:tc>
          <w:tcPr>
            <w:tcW w:type="dxa" w:w="58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>If (a): who supplies the approved brochure PDF.</w:t>
            </w:r>
          </w:p>
        </w:tc>
        <w:tc>
          <w:tcPr>
            <w:tcW w:type="dxa" w:w="3100"/>
            <w:tcBorders>
              <w:top w:val="single" w:color="C6C7C8" w:sz="4"/>
              <w:left w:val="single" w:color="C6C7C8" w:sz="4"/>
              <w:bottom w:val="single" w:color="C6C7C8" w:sz="4"/>
              <w:right w:val="single" w:color="C6C7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B42810"/>
          <w:sz w:val="30"/>
          <w:szCs w:val="30"/>
        </w:rPr>
        <w:t xml:space="preserve">3. What happens next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CRM developer activates the workflow (section 0). The webhook URL is already configured on the website's hosting environment.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One clearly marked test enquiry (“TEST - website”) is submitted from the live site; the CRM developer confirms it arrived with all four fields populated and deletes it.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Any key-name or format difference from section A is a one-function change on the website side, with no form changes.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Calibri" w:cs="Calibri" w:eastAsia="Calibri" w:hAnsi="Calibri"/>
          <w:color w:val="111111"/>
          <w:sz w:val="22"/>
          <w:szCs w:val="22"/>
        </w:rPr>
        <w:t xml:space="preserve">The brochure flow is switched on according to section F.</w:t>
      </w:r>
    </w:p>
    <w:sectPr>
      <w:pgSz w:w="11906" w:h="16838" w:orient="portrait"/>
      <w:pgMar w:top="1300" w:right="1150" w:bottom="1200" w:left="11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Integration — Confirmations Required from the CRM Developer</dc:title>
  <dc:creator>Yamuna Sky City website team</dc:creator>
  <cp:lastModifiedBy>Un-named</cp:lastModifiedBy>
  <cp:revision>1</cp:revision>
  <dcterms:created xsi:type="dcterms:W3CDTF">2026-09-08T16:08:40.132Z</dcterms:created>
  <dcterms:modified xsi:type="dcterms:W3CDTF">2026-09-08T16:08:40.133Z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