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B42810"/>
          <w:spacing w:val="40"/>
          <w:sz w:val="20"/>
          <w:szCs w:val="20"/>
        </w:rPr>
        <w:t xml:space="preserve">YAMUNA SKY CITY — WEBSITE</w:t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11111"/>
          <w:sz w:val="40"/>
          <w:szCs w:val="40"/>
        </w:rPr>
        <w:t xml:space="preserve">CRM Integration: Confirmations Required from the CRM Developer</w:t>
      </w:r>
    </w:p>
    <w:p>
      <w:pPr>
        <w:pBdr>
          <w:bottom w:val="single" w:color="B42810" w:sz="12" w:space="8"/>
        </w:pBdr>
        <w:spacing w:after="24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Prepared by the website team (pc-productions) · 7 September 2026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11111"/>
          <w:sz w:val="22"/>
          <w:szCs w:val="22"/>
        </w:rPr>
        <w:t xml:space="preserve">Purpose: </w:t>
      </w:r>
      <w:r>
        <w:rPr>
          <w:rFonts w:ascii="Calibri" w:cs="Calibri" w:eastAsia="Calibri" w:hAnsi="Calibri"/>
          <w:color w:val="111111"/>
          <w:sz w:val="22"/>
          <w:szCs w:val="22"/>
        </w:rPr>
        <w:t xml:space="preserve">confirm the details the website team still needs so that website enquiries land in the CRM reliably and completely.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11111"/>
          <w:sz w:val="22"/>
          <w:szCs w:val="22"/>
        </w:rPr>
        <w:t xml:space="preserve">Who fills this in: </w:t>
      </w:r>
      <w:r>
        <w:rPr>
          <w:rFonts w:ascii="Calibri" w:cs="Calibri" w:eastAsia="Calibri" w:hAnsi="Calibri"/>
          <w:color w:val="111111"/>
          <w:sz w:val="22"/>
          <w:szCs w:val="22"/>
        </w:rPr>
        <w:t xml:space="preserve">the CRM developer.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11111"/>
          <w:sz w:val="22"/>
          <w:szCs w:val="22"/>
        </w:rPr>
        <w:t xml:space="preserve">Who receives it: </w:t>
      </w:r>
      <w:r>
        <w:rPr>
          <w:rFonts w:ascii="Calibri" w:cs="Calibri" w:eastAsia="Calibri" w:hAnsi="Calibri"/>
          <w:color w:val="111111"/>
          <w:sz w:val="22"/>
          <w:szCs w:val="22"/>
        </w:rPr>
        <w:t xml:space="preserve">the website team (pc-productions).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11111"/>
          <w:sz w:val="22"/>
          <w:szCs w:val="22"/>
        </w:rPr>
        <w:t xml:space="preserve">Where things stand: </w:t>
      </w:r>
      <w:r>
        <w:rPr>
          <w:rFonts w:ascii="Calibri" w:cs="Calibri" w:eastAsia="Calibri" w:hAnsi="Calibri"/>
          <w:color w:val="111111"/>
          <w:sz w:val="22"/>
          <w:szCs w:val="22"/>
        </w:rPr>
        <w:t xml:space="preserve">the CRM developer has shared the webhook and the four fields it needs (lead name, email, phone number, inquired project name). The website already sends exactly that. What remains is a short list of confirmations so nothing is guessed. Please answer every item; where one does not apply, write “N/A” with a one-line reason.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B42810"/>
          <w:sz w:val="30"/>
          <w:szCs w:val="30"/>
        </w:rPr>
        <w:t xml:space="preserve">0. Immediate action required — activate the workflow</w:t>
      </w:r>
    </w:p>
    <w:p>
      <w:pPr>
        <w:spacing w:after="120" w:line="30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The webhook is currently </w:t>
      </w:r>
      <w:r>
        <w:rPr>
          <w:rFonts w:ascii="Calibri" w:cs="Calibri" w:eastAsia="Calibri" w:hAnsi="Calibri"/>
          <w:b/>
          <w:bCs/>
          <w:color w:val="111111"/>
          <w:sz w:val="22"/>
          <w:szCs w:val="22"/>
        </w:rPr>
        <w:t xml:space="preserve">not live</w:t>
      </w:r>
      <w:r>
        <w:rPr>
          <w:rFonts w:ascii="Calibri" w:cs="Calibri" w:eastAsia="Calibri" w:hAnsi="Calibri"/>
          <w:color w:val="111111"/>
          <w:sz w:val="22"/>
          <w:szCs w:val="22"/>
        </w:rPr>
        <w:t xml:space="preserve">. A test enquiry from the website on 7 September 2026 was rejected, and opening the URL directly returns n8n's “not registered” error: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{"code":404,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"message":"The requested webhook \"GET yamuna-google-ads\" is not registered.",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"hint":"The workflow must be active for a production URL to run successfully. You can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activate the workflow using the toggle in the top-right of the editor. Note that unlike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test URL calls, production URL calls aren't shown on the canvas (only in the executions list)"}</w:t>
      </w:r>
    </w:p>
    <w:p>
      <w:pPr>
        <w:spacing w:after="6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This is n8n's message for a workflow that is switched off (an active workflow that simply does not accept GET says “not registered for GET requests” instead). </w:t>
      </w:r>
      <w:r>
        <w:rPr>
          <w:rFonts w:ascii="Calibri" w:cs="Calibri" w:eastAsia="Calibri" w:hAnsi="Calibri"/>
          <w:b/>
          <w:bCs/>
          <w:color w:val="111111"/>
          <w:sz w:val="22"/>
          <w:szCs w:val="22"/>
        </w:rPr>
        <w:t xml:space="preserve">Please activate the workflow</w:t>
      </w:r>
      <w:r>
        <w:rPr>
          <w:rFonts w:ascii="Calibri" w:cs="Calibri" w:eastAsia="Calibri" w:hAnsi="Calibri"/>
          <w:color w:val="111111"/>
          <w:sz w:val="22"/>
          <w:szCs w:val="22"/>
        </w:rPr>
        <w:t xml:space="preserve"> using the toggle in the top-right of the n8n editor so the production URL /webhook/yamuna-google-ads accepts requests, then let the website team know. The website will immediately start delivering leads — no change or redeploy is needed on the website side. Production calls appear in n8n's Executions list, not on the canvas.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B42810"/>
          <w:sz w:val="30"/>
          <w:szCs w:val="30"/>
        </w:rPr>
        <w:t xml:space="preserve">1. What is agreed and already implemented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00"/>
      </w:tblGrid>
      <w:tr>
        <w:trPr>
          <w:tblHeader/>
        </w:trPr>
        <w:tc>
          <w:tcPr>
            <w:tcW w:type="dxa" w:w="2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Item</w:t>
            </w:r>
          </w:p>
        </w:tc>
        <w:tc>
          <w:tcPr>
            <w:tcW w:type="dxa" w:w="7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Endpoint</w:t>
            </w:r>
          </w:p>
        </w:tc>
        <w:tc>
          <w:tcPr>
            <w:tcW w:type="dxa" w:w="7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https://n8n.thesparksocial.in/webhook/yamuna-google-ads</w:t>
            </w:r>
          </w:p>
        </w:tc>
      </w:tr>
      <w:tr>
        <w:tc>
          <w:tcPr>
            <w:tcW w:type="dxa" w:w="2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Method</w:t>
            </w:r>
          </w:p>
        </w:tc>
        <w:tc>
          <w:tcPr>
            <w:tcW w:type="dxa" w:w="7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POST</w:t>
            </w:r>
          </w:p>
        </w:tc>
      </w:tr>
      <w:tr>
        <w:tc>
          <w:tcPr>
            <w:tcW w:type="dxa" w:w="2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Content type</w:t>
            </w:r>
          </w:p>
        </w:tc>
        <w:tc>
          <w:tcPr>
            <w:tcW w:type="dxa" w:w="7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application/json</w:t>
            </w:r>
          </w:p>
        </w:tc>
      </w:tr>
      <w:tr>
        <w:tc>
          <w:tcPr>
            <w:tcW w:type="dxa" w:w="2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Sent from</w:t>
            </w:r>
          </w:p>
        </w:tc>
        <w:tc>
          <w:tcPr>
            <w:tcW w:type="dxa" w:w="7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The website's own server — never the visitor's browser</w:t>
            </w:r>
          </w:p>
        </w:tc>
      </w:tr>
      <w:tr>
        <w:tc>
          <w:tcPr>
            <w:tcW w:type="dxa" w:w="2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Success</w:t>
            </w:r>
          </w:p>
        </w:tc>
        <w:tc>
          <w:tcPr>
            <w:tcW w:type="dxa" w:w="7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Any HTTP 2xx response</w:t>
            </w:r>
          </w:p>
        </w:tc>
      </w:tr>
      <w:tr>
        <w:tc>
          <w:tcPr>
            <w:tcW w:type="dxa" w:w="2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Attempts</w:t>
            </w:r>
          </w:p>
        </w:tc>
        <w:tc>
          <w:tcPr>
            <w:tcW w:type="dxa" w:w="7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One per submission, 10-second wait, no automatic retry (a retry after a lost response could create a duplicate lead; the visitor can resubmit manually)</w:t>
            </w:r>
          </w:p>
        </w:tc>
      </w:tr>
      <w:tr>
        <w:tc>
          <w:tcPr>
            <w:tcW w:type="dxa" w:w="2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Visitor experience</w:t>
            </w:r>
          </w:p>
        </w:tc>
        <w:tc>
          <w:tcPr>
            <w:tcW w:type="dxa" w:w="7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The thank-you screen is shown only after the webhook answers 2xx; on any failure the form stays filled and asks the visitor to try again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11111"/>
          <w:sz w:val="25"/>
          <w:szCs w:val="25"/>
        </w:rPr>
        <w:t xml:space="preserve">Exact body the website sends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{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"lead_id": "YSC-20260908-7K3Q9F2M",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"name":    "Visitor name",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"email":   "visitor@example.com",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"phone":   "+91 98765 43210",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"project": "Yamuna Sky City",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"details": {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"lead_id": "YSC-20260908-7K3Q9F2M",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"city": "Mangalore",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"source": {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  "ui": "modal",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  "utm_source": "google",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  "utm_medium": "cpc",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  "utm_campaign": "launch",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  "utm_term": "",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  "utm_content": "",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  "referrer": "https://www.google.com/",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  "landing_page": "/?utm_source=google&amp;utm_medium=cpc&amp;utm_campaign=launch"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},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"consent": {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  "agreed": true,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  "text": "I agree to be contacted by Yamuna Sky City regarding this enquiry.",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  "recordedAt": "2026-09-07T09:48:01.212Z"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},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"submittedAt": "2026-09-07T09:48:01.212Z",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"site": "yamuna-sky-city-website"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}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}</w:t>
      </w:r>
    </w:p>
    <w:p>
      <w:pPr>
        <w:spacing w:after="12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/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Key</w:t>
            </w:r>
          </w:p>
        </w:tc>
        <w:tc>
          <w:tcPr>
            <w:tcW w:type="dxa" w:w="6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lead_id</w:t>
            </w:r>
          </w:p>
        </w:tc>
        <w:tc>
          <w:tcPr>
            <w:tcW w:type="dxa" w:w="6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Website-issued reference (YSC-YYYYMMDD-XXXXXXXX), unique per lead — please store it on the CRM record so leads can be reconciled with the business's own ledger</w:t>
            </w:r>
          </w:p>
        </w:tc>
      </w:tr>
      <w:tr>
        <w:tc>
          <w:tcPr>
            <w:tcW w:type="dxa" w:w="3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name</w:t>
            </w:r>
          </w:p>
        </w:tc>
        <w:tc>
          <w:tcPr>
            <w:tcW w:type="dxa" w:w="6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Required; up to 200 characters</w:t>
            </w:r>
          </w:p>
        </w:tc>
      </w:tr>
      <w:tr>
        <w:tc>
          <w:tcPr>
            <w:tcW w:type="dxa" w:w="3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email</w:t>
            </w:r>
          </w:p>
        </w:tc>
        <w:tc>
          <w:tcPr>
            <w:tcW w:type="dxa" w:w="6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Required; validated format</w:t>
            </w:r>
          </w:p>
        </w:tc>
      </w:tr>
      <w:tr>
        <w:tc>
          <w:tcPr>
            <w:tcW w:type="dxa" w:w="3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phone</w:t>
            </w:r>
          </w:p>
        </w:tc>
        <w:tc>
          <w:tcPr>
            <w:tcW w:type="dxa" w:w="6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Required; as typed by the visitor (7–15 digits; optional + or 00; spaces, dashes and brackets allowed)</w:t>
            </w:r>
          </w:p>
        </w:tc>
      </w:tr>
      <w:tr>
        <w:tc>
          <w:tcPr>
            <w:tcW w:type="dxa" w:w="3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project</w:t>
            </w:r>
          </w:p>
        </w:tc>
        <w:tc>
          <w:tcPr>
            <w:tcW w:type="dxa" w:w="6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Always "Yamuna Sky City"</w:t>
            </w:r>
          </w:p>
        </w:tc>
      </w:tr>
      <w:tr>
        <w:tc>
          <w:tcPr>
            <w:tcW w:type="dxa" w:w="3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details.city</w:t>
            </w:r>
          </w:p>
        </w:tc>
        <w:tc>
          <w:tcPr>
            <w:tcW w:type="dxa" w:w="6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Optional free text; may be empty</w:t>
            </w:r>
          </w:p>
        </w:tc>
      </w:tr>
      <w:tr>
        <w:tc>
          <w:tcPr>
            <w:tcW w:type="dxa" w:w="3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details.source.ui</w:t>
            </w:r>
          </w:p>
        </w:tc>
        <w:tc>
          <w:tcPr>
            <w:tcW w:type="dxa" w:w="6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"modal" or "contact-section" — where on the site the form was used</w:t>
            </w:r>
          </w:p>
        </w:tc>
      </w:tr>
      <w:tr>
        <w:tc>
          <w:tcPr>
            <w:tcW w:type="dxa" w:w="3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details.source.utm_*, referrer, landing_page</w:t>
            </w:r>
          </w:p>
        </w:tc>
        <w:tc>
          <w:tcPr>
            <w:tcW w:type="dxa" w:w="6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First-touch marketing attribution for the session; keys are omitted when not captured</w:t>
            </w:r>
          </w:p>
        </w:tc>
      </w:tr>
      <w:tr>
        <w:tc>
          <w:tcPr>
            <w:tcW w:type="dxa" w:w="3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details.consent</w:t>
            </w:r>
          </w:p>
        </w:tc>
        <w:tc>
          <w:tcPr>
            <w:tcW w:type="dxa" w:w="6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Consent flag, the exact wording agreed to, and when</w:t>
            </w:r>
          </w:p>
        </w:tc>
      </w:tr>
      <w:tr>
        <w:tc>
          <w:tcPr>
            <w:tcW w:type="dxa" w:w="3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details.submittedAt</w:t>
            </w:r>
          </w:p>
        </w:tc>
        <w:tc>
          <w:tcPr>
            <w:tcW w:type="dxa" w:w="6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Server time, ISO-8601</w:t>
            </w:r>
          </w:p>
        </w:tc>
      </w:tr>
    </w:tbl>
    <w:p>
      <w:pPr>
        <w:spacing w:before="12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The details object can be ignored by the workflow if not needed; it is included so attribution and consent are not lost.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B42810"/>
          <w:sz w:val="30"/>
          <w:szCs w:val="30"/>
        </w:rPr>
        <w:t xml:space="preserve">2. Please confirm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11111"/>
          <w:sz w:val="25"/>
          <w:szCs w:val="25"/>
        </w:rPr>
        <w:t xml:space="preserve">A. Field names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800"/>
        <w:gridCol w:w="3100"/>
      </w:tblGrid>
      <w:tr>
        <w:trPr>
          <w:tblHeader/>
        </w:trP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#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Question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Your answer</w:t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A1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Do the top-level keys name, email, phone, project match what the n8n workflow reads? If not, give the exact keys.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A2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Should name be split into first and last name?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A3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Phone format — as typed is fine, or do you need E.164 (+919876543210), digits only, or a separate country code?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A4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Is any field required that the website does not send (budget, unit type, message, etc.)? Adding one is a visible form change and needs client approval.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A5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Any fixed values you need on every lead (campaign ID, source ID, owner, pipeline/stage)? Give the exact values.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A6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The endpoint is named google-ads. Does the workflow expect the Google Ads lead-form webhook schema (user_column_data, lead_id, google_key, …) rather than the flat body above? If yes, please share a sample payload it accepts.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11111"/>
          <w:sz w:val="25"/>
          <w:szCs w:val="25"/>
        </w:rPr>
        <w:t xml:space="preserve">B. Security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800"/>
        <w:gridCol w:w="3100"/>
      </w:tblGrid>
      <w:tr>
        <w:trPr>
          <w:tblHeader/>
        </w:trP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#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Question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Your answer</w:t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B1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Is the webhook meant to be unauthenticated? If a token or secret should be sent, give the header name and how the value is issued (via a secure channel — not email or chat).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B2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Should requests carry any other identifying header (e.g. X-Source: website)?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B3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Any IP allow-list? The website runs on Vercel, whose outbound IPs are not fixed — please say if this is a requirement.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11111"/>
          <w:sz w:val="25"/>
          <w:szCs w:val="25"/>
        </w:rPr>
        <w:t xml:space="preserve">C. Response and errors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800"/>
        <w:gridCol w:w="3100"/>
      </w:tblGrid>
      <w:tr>
        <w:trPr>
          <w:tblHeader/>
        </w:trP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#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Question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Your answer</w:t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C1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What does the webhook return on success (status + sample body)? Is there a lead / record ID we should keep?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C2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Can it return 200 with an error inside the body? If so, how do we detect it? (We treat any 2xx as accepted.)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C3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Status code and body on validation failure (e.g. bad phone) and on system failure.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C4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Is lead creation synchronous (created when we get 2xx) or queued?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C5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Typical and maximum response time? Is our 10-second wait acceptable?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11111"/>
          <w:sz w:val="25"/>
          <w:szCs w:val="25"/>
        </w:rPr>
        <w:t xml:space="preserve">D. Duplicates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800"/>
        <w:gridCol w:w="3100"/>
      </w:tblGrid>
      <w:tr>
        <w:trPr>
          <w:tblHeader/>
        </w:trP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#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Question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Your answer</w:t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D1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If the same email or phone is submitted again — new lead, merged, or rejected? Which field decides?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D2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Is a duplicate reported as success or as an error (status + body)?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D3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Do you support an idempotency key header so a safe retry never creates a duplicate? Header name.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D4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If our request times out on our side but you received it, is the lead still created?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11111"/>
          <w:sz w:val="25"/>
          <w:szCs w:val="25"/>
        </w:rPr>
        <w:t xml:space="preserve">E. Environments and testing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800"/>
        <w:gridCol w:w="3100"/>
      </w:tblGrid>
      <w:tr>
        <w:trPr>
          <w:tblHeader/>
        </w:trP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#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Question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Your answer</w:t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E1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Is this single URL production? Is there a separate test/staging URL?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E2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May we send test leads to it? Agree a marker so they can be found and deleted — proposed: name starting with “TEST -”.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E3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How do we verify a test lead arrived (CRM access for the website team, or a confirmation from you)?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E4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Rate limits, if any, and the response when exceeded.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E5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How will you notify us before the URL, fields or workflow change?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E6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Support contact for integration issues after launch.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11111"/>
          <w:sz w:val="25"/>
          <w:szCs w:val="25"/>
        </w:rPr>
        <w:t xml:space="preserve">F. Brochure</w:t>
      </w:r>
    </w:p>
    <w:p>
      <w:pPr>
        <w:spacing w:after="120" w:line="30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The website shows a brochure download only after the lead is accepted.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800"/>
        <w:gridCol w:w="3100"/>
      </w:tblGrid>
      <w:tr>
        <w:trPr>
          <w:tblHeader/>
        </w:trP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#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Question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Your answer</w:t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F1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Who delivers the brochure? (a) website hosts the PDF and shows a download; (b) CRM/workflow emails or WhatsApps it; (c) the webhook returns a URL in its response; (d) combination.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F2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If (c): field name of the URL, whether it expires, whether it needs authentication.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F3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If (b): expected delay before the visitor receives it, so our on-screen message is accurate.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F4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If (a): who supplies the approved brochure PDF.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B42810"/>
          <w:sz w:val="30"/>
          <w:szCs w:val="30"/>
        </w:rPr>
        <w:t xml:space="preserve">3. What happens next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The CRM developer activates the workflow (section 0). The webhook URL is already configured on the website's hosting environment.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One clearly marked test enquiry (“TEST - website”) is submitted from the live site; the CRM developer confirms it arrived with all four fields populated and deletes it.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Any key-name or format difference from section A is a one-function change on the website side, with no form changes.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The brochure flow is switched on according to section F.</w:t>
      </w:r>
    </w:p>
    <w:sectPr>
      <w:pgSz w:w="11906" w:h="16838" w:orient="portrait"/>
      <w:pgMar w:top="1300" w:right="1150" w:bottom="1200" w:left="11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Integration — Confirmations Required from the CRM Developer</dc:title>
  <dc:creator>Yamuna Sky City website team</dc:creator>
  <cp:lastModifiedBy>Un-named</cp:lastModifiedBy>
  <cp:revision>1</cp:revision>
  <dcterms:created xsi:type="dcterms:W3CDTF">2026-09-08T15:46:17.572Z</dcterms:created>
  <dcterms:modified xsi:type="dcterms:W3CDTF">2026-09-08T15:46:17.572Z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