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B42810"/>
          <w:spacing w:val="40"/>
          <w:sz w:val="20"/>
          <w:szCs w:val="20"/>
        </w:rPr>
        <w:t xml:space="preserve">YAMUNA SKY CITY — WEBSITE</w:t>
      </w:r>
    </w:p>
    <w:p>
      <w:pPr>
        <w:spacing w:after="200"/>
      </w:pPr>
      <w:r>
        <w:rPr>
          <w:rFonts w:ascii="Calibri" w:cs="Calibri" w:eastAsia="Calibri" w:hAnsi="Calibri"/>
          <w:b/>
          <w:bCs/>
          <w:color w:val="111111"/>
          <w:sz w:val="40"/>
          <w:szCs w:val="40"/>
        </w:rPr>
        <w:t xml:space="preserve">CRM Integration: Confirmations Required from the CRM Developer</w:t>
      </w:r>
    </w:p>
    <w:p>
      <w:pPr>
        <w:pBdr>
          <w:bottom w:val="single" w:color="B42810" w:sz="12" w:space="8"/>
        </w:pBdr>
        <w:spacing w:after="24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Prepared by the website team (pc-productions) · 7 September 2026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11111"/>
          <w:sz w:val="22"/>
          <w:szCs w:val="22"/>
        </w:rPr>
        <w:t xml:space="preserve">Purpose: </w:t>
      </w:r>
      <w:r>
        <w:rPr>
          <w:rFonts w:ascii="Calibri" w:cs="Calibri" w:eastAsia="Calibri" w:hAnsi="Calibri"/>
          <w:color w:val="111111"/>
          <w:sz w:val="22"/>
          <w:szCs w:val="22"/>
        </w:rPr>
        <w:t xml:space="preserve">confirm the details the website team still needs so that website enquiries land in the CRM reliably and completely.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11111"/>
          <w:sz w:val="22"/>
          <w:szCs w:val="22"/>
        </w:rPr>
        <w:t xml:space="preserve">Who fills this in: </w:t>
      </w:r>
      <w:r>
        <w:rPr>
          <w:rFonts w:ascii="Calibri" w:cs="Calibri" w:eastAsia="Calibri" w:hAnsi="Calibri"/>
          <w:color w:val="111111"/>
          <w:sz w:val="22"/>
          <w:szCs w:val="22"/>
        </w:rPr>
        <w:t xml:space="preserve">the CRM developer.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11111"/>
          <w:sz w:val="22"/>
          <w:szCs w:val="22"/>
        </w:rPr>
        <w:t xml:space="preserve">Who receives it: </w:t>
      </w:r>
      <w:r>
        <w:rPr>
          <w:rFonts w:ascii="Calibri" w:cs="Calibri" w:eastAsia="Calibri" w:hAnsi="Calibri"/>
          <w:color w:val="111111"/>
          <w:sz w:val="22"/>
          <w:szCs w:val="22"/>
        </w:rPr>
        <w:t xml:space="preserve">the website team (pc-productions).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11111"/>
          <w:sz w:val="22"/>
          <w:szCs w:val="22"/>
        </w:rPr>
        <w:t xml:space="preserve">Where things stand: </w:t>
      </w:r>
      <w:r>
        <w:rPr>
          <w:rFonts w:ascii="Calibri" w:cs="Calibri" w:eastAsia="Calibri" w:hAnsi="Calibri"/>
          <w:color w:val="111111"/>
          <w:sz w:val="22"/>
          <w:szCs w:val="22"/>
        </w:rPr>
        <w:t xml:space="preserve">the CRM developer has shared the webhook and the four fields it needs (lead name, email, phone number, inquired project name). The website already sends exactly that. What remains is a short list of confirmations so nothing is guessed. Please answer every item; where one does not apply, write “N/A” with a one-line reason.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B42810"/>
          <w:sz w:val="30"/>
          <w:szCs w:val="30"/>
        </w:rPr>
        <w:t xml:space="preserve">1. What is agreed and already implemented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00"/>
      </w:tblGrid>
      <w:tr>
        <w:trPr>
          <w:tblHeader/>
        </w:trPr>
        <w:tc>
          <w:tcPr>
            <w:tcW w:type="dxa" w:w="24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shd w:fill="F7F0E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B42810"/>
                <w:sz w:val="20"/>
                <w:szCs w:val="20"/>
              </w:rPr>
              <w:t xml:space="preserve">Item</w:t>
            </w:r>
          </w:p>
        </w:tc>
        <w:tc>
          <w:tcPr>
            <w:tcW w:type="dxa" w:w="72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shd w:fill="F7F0E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B42810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24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Endpoint</w:t>
            </w:r>
          </w:p>
        </w:tc>
        <w:tc>
          <w:tcPr>
            <w:tcW w:type="dxa" w:w="72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https://n8n.thesparksocial.in/webhook/yamuna-google-ads</w:t>
            </w:r>
          </w:p>
        </w:tc>
      </w:tr>
      <w:tr>
        <w:tc>
          <w:tcPr>
            <w:tcW w:type="dxa" w:w="24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Method</w:t>
            </w:r>
          </w:p>
        </w:tc>
        <w:tc>
          <w:tcPr>
            <w:tcW w:type="dxa" w:w="72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POST</w:t>
            </w:r>
          </w:p>
        </w:tc>
      </w:tr>
      <w:tr>
        <w:tc>
          <w:tcPr>
            <w:tcW w:type="dxa" w:w="24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Content type</w:t>
            </w:r>
          </w:p>
        </w:tc>
        <w:tc>
          <w:tcPr>
            <w:tcW w:type="dxa" w:w="72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application/json</w:t>
            </w:r>
          </w:p>
        </w:tc>
      </w:tr>
      <w:tr>
        <w:tc>
          <w:tcPr>
            <w:tcW w:type="dxa" w:w="24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Sent from</w:t>
            </w:r>
          </w:p>
        </w:tc>
        <w:tc>
          <w:tcPr>
            <w:tcW w:type="dxa" w:w="72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The website's own server — never the visitor's browser</w:t>
            </w:r>
          </w:p>
        </w:tc>
      </w:tr>
      <w:tr>
        <w:tc>
          <w:tcPr>
            <w:tcW w:type="dxa" w:w="24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Success</w:t>
            </w:r>
          </w:p>
        </w:tc>
        <w:tc>
          <w:tcPr>
            <w:tcW w:type="dxa" w:w="72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Any HTTP 2xx response</w:t>
            </w:r>
          </w:p>
        </w:tc>
      </w:tr>
      <w:tr>
        <w:tc>
          <w:tcPr>
            <w:tcW w:type="dxa" w:w="24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Attempts</w:t>
            </w:r>
          </w:p>
        </w:tc>
        <w:tc>
          <w:tcPr>
            <w:tcW w:type="dxa" w:w="72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One per submission, 10-second wait, no automatic retry (a retry after a lost response could create a duplicate lead; the visitor can resubmit manually)</w:t>
            </w:r>
          </w:p>
        </w:tc>
      </w:tr>
      <w:tr>
        <w:tc>
          <w:tcPr>
            <w:tcW w:type="dxa" w:w="24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Visitor experience</w:t>
            </w:r>
          </w:p>
        </w:tc>
        <w:tc>
          <w:tcPr>
            <w:tcW w:type="dxa" w:w="72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The thank-you screen is shown only after the webhook answers 2xx; on any failure the form stays filled and asks the visitor to try again</w:t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11111"/>
          <w:sz w:val="25"/>
          <w:szCs w:val="25"/>
        </w:rPr>
        <w:t xml:space="preserve">Exact body the website sends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{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"name":    "Visitor name",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"email":   "visitor@example.com",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"phone":   "+91 98765 43210",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"project": "Yamuna Sky City",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"details": {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  "city": "Mangalore",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  "source": {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    "ui": "modal",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    "utm_source": "google",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    "utm_medium": "cpc",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    "utm_campaign": "launch",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    "utm_term": "",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    "utm_content": "",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    "referrer": "https://www.google.com/",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    "landing_page": "/?utm_source=google&amp;utm_medium=cpc&amp;utm_campaign=launch"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  },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  "consent": {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    "agreed": true,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    "text": "I agree to be contacted by Yamuna Sky City regarding this enquiry.",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    "recordedAt": "2026-09-07T09:48:01.212Z"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  },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  "submittedAt": "2026-09-07T09:48:01.212Z",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  "site": "yamuna-sky-city-website"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}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}</w:t>
      </w:r>
    </w:p>
    <w:p>
      <w:pPr>
        <w:spacing w:after="12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/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00"/>
      </w:tblGrid>
      <w:tr>
        <w:trPr>
          <w:tblHeader/>
        </w:trPr>
        <w:tc>
          <w:tcPr>
            <w:tcW w:type="dxa" w:w="32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shd w:fill="F7F0E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B42810"/>
                <w:sz w:val="20"/>
                <w:szCs w:val="20"/>
              </w:rPr>
              <w:t xml:space="preserve">Key</w:t>
            </w:r>
          </w:p>
        </w:tc>
        <w:tc>
          <w:tcPr>
            <w:tcW w:type="dxa" w:w="64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shd w:fill="F7F0E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B42810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2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name</w:t>
            </w:r>
          </w:p>
        </w:tc>
        <w:tc>
          <w:tcPr>
            <w:tcW w:type="dxa" w:w="64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Required; up to 200 characters</w:t>
            </w:r>
          </w:p>
        </w:tc>
      </w:tr>
      <w:tr>
        <w:tc>
          <w:tcPr>
            <w:tcW w:type="dxa" w:w="32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email</w:t>
            </w:r>
          </w:p>
        </w:tc>
        <w:tc>
          <w:tcPr>
            <w:tcW w:type="dxa" w:w="64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Required; validated format</w:t>
            </w:r>
          </w:p>
        </w:tc>
      </w:tr>
      <w:tr>
        <w:tc>
          <w:tcPr>
            <w:tcW w:type="dxa" w:w="32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phone</w:t>
            </w:r>
          </w:p>
        </w:tc>
        <w:tc>
          <w:tcPr>
            <w:tcW w:type="dxa" w:w="64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Required; as typed by the visitor (7–15 digits; optional + or 00; spaces, dashes and brackets allowed)</w:t>
            </w:r>
          </w:p>
        </w:tc>
      </w:tr>
      <w:tr>
        <w:tc>
          <w:tcPr>
            <w:tcW w:type="dxa" w:w="32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project</w:t>
            </w:r>
          </w:p>
        </w:tc>
        <w:tc>
          <w:tcPr>
            <w:tcW w:type="dxa" w:w="64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Always "Yamuna Sky City"</w:t>
            </w:r>
          </w:p>
        </w:tc>
      </w:tr>
      <w:tr>
        <w:tc>
          <w:tcPr>
            <w:tcW w:type="dxa" w:w="32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details.city</w:t>
            </w:r>
          </w:p>
        </w:tc>
        <w:tc>
          <w:tcPr>
            <w:tcW w:type="dxa" w:w="64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Optional free text; may be empty</w:t>
            </w:r>
          </w:p>
        </w:tc>
      </w:tr>
      <w:tr>
        <w:tc>
          <w:tcPr>
            <w:tcW w:type="dxa" w:w="32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details.source.ui</w:t>
            </w:r>
          </w:p>
        </w:tc>
        <w:tc>
          <w:tcPr>
            <w:tcW w:type="dxa" w:w="64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"modal" or "contact-section" — where on the site the form was used</w:t>
            </w:r>
          </w:p>
        </w:tc>
      </w:tr>
      <w:tr>
        <w:tc>
          <w:tcPr>
            <w:tcW w:type="dxa" w:w="32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details.source.utm_*, referrer, landing_page</w:t>
            </w:r>
          </w:p>
        </w:tc>
        <w:tc>
          <w:tcPr>
            <w:tcW w:type="dxa" w:w="64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First-touch marketing attribution for the session; keys are omitted when not captured</w:t>
            </w:r>
          </w:p>
        </w:tc>
      </w:tr>
      <w:tr>
        <w:tc>
          <w:tcPr>
            <w:tcW w:type="dxa" w:w="32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details.consent</w:t>
            </w:r>
          </w:p>
        </w:tc>
        <w:tc>
          <w:tcPr>
            <w:tcW w:type="dxa" w:w="64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Consent flag, the exact wording agreed to, and when</w:t>
            </w:r>
          </w:p>
        </w:tc>
      </w:tr>
      <w:tr>
        <w:tc>
          <w:tcPr>
            <w:tcW w:type="dxa" w:w="32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details.submittedAt</w:t>
            </w:r>
          </w:p>
        </w:tc>
        <w:tc>
          <w:tcPr>
            <w:tcW w:type="dxa" w:w="64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Server time, ISO-8601</w:t>
            </w:r>
          </w:p>
        </w:tc>
      </w:tr>
    </w:tbl>
    <w:p>
      <w:pPr>
        <w:spacing w:before="12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The details object can be ignored by the workflow if not needed; it is included so attribution and consent are not lost.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B42810"/>
          <w:sz w:val="30"/>
          <w:szCs w:val="30"/>
        </w:rPr>
        <w:t xml:space="preserve">2. Please confirm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11111"/>
          <w:sz w:val="25"/>
          <w:szCs w:val="25"/>
        </w:rPr>
        <w:t xml:space="preserve">A. Field names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800"/>
        <w:gridCol w:w="3100"/>
      </w:tblGrid>
      <w:tr>
        <w:trPr>
          <w:tblHeader/>
        </w:trP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shd w:fill="F7F0E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B42810"/>
                <w:sz w:val="20"/>
                <w:szCs w:val="20"/>
              </w:rPr>
              <w:t xml:space="preserve">#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shd w:fill="F7F0E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B42810"/>
                <w:sz w:val="20"/>
                <w:szCs w:val="20"/>
              </w:rPr>
              <w:t xml:space="preserve">Question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shd w:fill="F7F0E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B42810"/>
                <w:sz w:val="20"/>
                <w:szCs w:val="20"/>
              </w:rPr>
              <w:t xml:space="preserve">Your answer</w:t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A1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Do the top-level keys name, email, phone, project match what the n8n workflow reads? If not, give the exact keys.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A2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Should name be split into first and last name?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A3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Phone format — as typed is fine, or do you need E.164 (+919876543210), digits only, or a separate country code?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A4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Is any field required that the website does not send (budget, unit type, message, etc.)? Adding one is a visible form change and needs client approval.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A5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Any fixed values you need on every lead (campaign ID, source ID, owner, pipeline/stage)? Give the exact values.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A6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The endpoint is named google-ads. Does the workflow expect the Google Ads lead-form webhook schema (user_column_data, lead_id, google_key, …) rather than the flat body above? If yes, please share a sample payload it accepts.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11111"/>
          <w:sz w:val="25"/>
          <w:szCs w:val="25"/>
        </w:rPr>
        <w:t xml:space="preserve">B. Security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800"/>
        <w:gridCol w:w="3100"/>
      </w:tblGrid>
      <w:tr>
        <w:trPr>
          <w:tblHeader/>
        </w:trP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shd w:fill="F7F0E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B42810"/>
                <w:sz w:val="20"/>
                <w:szCs w:val="20"/>
              </w:rPr>
              <w:t xml:space="preserve">#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shd w:fill="F7F0E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B42810"/>
                <w:sz w:val="20"/>
                <w:szCs w:val="20"/>
              </w:rPr>
              <w:t xml:space="preserve">Question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shd w:fill="F7F0E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B42810"/>
                <w:sz w:val="20"/>
                <w:szCs w:val="20"/>
              </w:rPr>
              <w:t xml:space="preserve">Your answer</w:t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B1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Is the webhook meant to be unauthenticated? If a token or secret should be sent, give the header name and how the value is issued (via a secure channel — not email or chat).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B2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Should requests carry any other identifying header (e.g. X-Source: website)?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B3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Any IP allow-list? The website runs on Vercel, whose outbound IPs are not fixed — please say if this is a requirement.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11111"/>
          <w:sz w:val="25"/>
          <w:szCs w:val="25"/>
        </w:rPr>
        <w:t xml:space="preserve">C. Response and errors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800"/>
        <w:gridCol w:w="3100"/>
      </w:tblGrid>
      <w:tr>
        <w:trPr>
          <w:tblHeader/>
        </w:trP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shd w:fill="F7F0E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B42810"/>
                <w:sz w:val="20"/>
                <w:szCs w:val="20"/>
              </w:rPr>
              <w:t xml:space="preserve">#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shd w:fill="F7F0E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B42810"/>
                <w:sz w:val="20"/>
                <w:szCs w:val="20"/>
              </w:rPr>
              <w:t xml:space="preserve">Question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shd w:fill="F7F0E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B42810"/>
                <w:sz w:val="20"/>
                <w:szCs w:val="20"/>
              </w:rPr>
              <w:t xml:space="preserve">Your answer</w:t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C1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What does the webhook return on success (status + sample body)? Is there a lead / record ID we should keep?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C2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Can it return 200 with an error inside the body? If so, how do we detect it? (We treat any 2xx as accepted.)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C3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Status code and body on validation failure (e.g. bad phone) and on system failure.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C4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Is lead creation synchronous (created when we get 2xx) or queued?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C5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Typical and maximum response time? Is our 10-second wait acceptable?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11111"/>
          <w:sz w:val="25"/>
          <w:szCs w:val="25"/>
        </w:rPr>
        <w:t xml:space="preserve">D. Duplicates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800"/>
        <w:gridCol w:w="3100"/>
      </w:tblGrid>
      <w:tr>
        <w:trPr>
          <w:tblHeader/>
        </w:trP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shd w:fill="F7F0E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B42810"/>
                <w:sz w:val="20"/>
                <w:szCs w:val="20"/>
              </w:rPr>
              <w:t xml:space="preserve">#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shd w:fill="F7F0E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B42810"/>
                <w:sz w:val="20"/>
                <w:szCs w:val="20"/>
              </w:rPr>
              <w:t xml:space="preserve">Question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shd w:fill="F7F0E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B42810"/>
                <w:sz w:val="20"/>
                <w:szCs w:val="20"/>
              </w:rPr>
              <w:t xml:space="preserve">Your answer</w:t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D1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If the same email or phone is submitted again — new lead, merged, or rejected? Which field decides?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D2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Is a duplicate reported as success or as an error (status + body)?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D3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Do you support an idempotency key header so a safe retry never creates a duplicate? Header name.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D4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If our request times out on our side but you received it, is the lead still created?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11111"/>
          <w:sz w:val="25"/>
          <w:szCs w:val="25"/>
        </w:rPr>
        <w:t xml:space="preserve">E. Environments and testing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800"/>
        <w:gridCol w:w="3100"/>
      </w:tblGrid>
      <w:tr>
        <w:trPr>
          <w:tblHeader/>
        </w:trP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shd w:fill="F7F0E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B42810"/>
                <w:sz w:val="20"/>
                <w:szCs w:val="20"/>
              </w:rPr>
              <w:t xml:space="preserve">#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shd w:fill="F7F0E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B42810"/>
                <w:sz w:val="20"/>
                <w:szCs w:val="20"/>
              </w:rPr>
              <w:t xml:space="preserve">Question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shd w:fill="F7F0E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B42810"/>
                <w:sz w:val="20"/>
                <w:szCs w:val="20"/>
              </w:rPr>
              <w:t xml:space="preserve">Your answer</w:t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E1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Is this single URL production? Is there a separate test/staging URL?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E2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May we send test leads to it? Agree a marker so they can be found and deleted — proposed: name starting with “TEST -”.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E3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How do we verify a test lead arrived (CRM access for the website team, or a confirmation from you)?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E4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Rate limits, if any, and the response when exceeded.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E5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How will you notify us before the URL, fields or workflow change?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E6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Support contact for integration issues after launch.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11111"/>
          <w:sz w:val="25"/>
          <w:szCs w:val="25"/>
        </w:rPr>
        <w:t xml:space="preserve">F. Brochure</w:t>
      </w:r>
    </w:p>
    <w:p>
      <w:pPr>
        <w:spacing w:after="120" w:line="30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The website shows a brochure download only after the lead is accepted.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800"/>
        <w:gridCol w:w="3100"/>
      </w:tblGrid>
      <w:tr>
        <w:trPr>
          <w:tblHeader/>
        </w:trP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shd w:fill="F7F0E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B42810"/>
                <w:sz w:val="20"/>
                <w:szCs w:val="20"/>
              </w:rPr>
              <w:t xml:space="preserve">#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shd w:fill="F7F0E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B42810"/>
                <w:sz w:val="20"/>
                <w:szCs w:val="20"/>
              </w:rPr>
              <w:t xml:space="preserve">Question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shd w:fill="F7F0E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B42810"/>
                <w:sz w:val="20"/>
                <w:szCs w:val="20"/>
              </w:rPr>
              <w:t xml:space="preserve">Your answer</w:t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F1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Who delivers the brochure? (a) website hosts the PDF and shows a download; (b) CRM/workflow emails or WhatsApps it; (c) the webhook returns a URL in its response; (d) combination.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F2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If (c): field name of the URL, whether it expires, whether it needs authentication.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F3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If (b): expected delay before the visitor receives it, so our on-screen message is accurate.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F4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If (a): who supplies the approved brochure PDF.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B42810"/>
          <w:sz w:val="30"/>
          <w:szCs w:val="30"/>
        </w:rPr>
        <w:t xml:space="preserve">3. What happens next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The website team sets the webhook URL in the hosting environment (server-side only) and redeploys.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One clearly marked test enquiry is submitted from the live site; the CRM developer confirms it arrived with all four fields populated and deletes it.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Any key-name or format difference from section A is a one-function change on the website side, with no form changes.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The brochure flow is switched on according to section F.</w:t>
      </w:r>
    </w:p>
    <w:sectPr>
      <w:pgSz w:w="11906" w:h="16838" w:orient="portrait"/>
      <w:pgMar w:top="1300" w:right="1150" w:bottom="1200" w:left="11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CRM Integration — Confirmations Required from the CRM Developer</dc:title>
  <dc:creator>Yamuna Sky City website team</dc:creator>
  <cp:lastModifiedBy>Un-named</cp:lastModifiedBy>
  <cp:revision>1</cp:revision>
  <dcterms:created xsi:type="dcterms:W3CDTF">2026-09-07T09:57:23.024Z</dcterms:created>
  <dcterms:modified xsi:type="dcterms:W3CDTF">2026-09-07T09:57:23.024Z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