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b/>
          <w:bCs/>
          <w:color w:val="1F2937"/>
          <w:sz w:val="64"/>
          <w:szCs w:val="64"/>
        </w:rPr>
        <w:t xml:space="preserve">CYBER PLUTO</w:t>
      </w:r>
    </w:p>
    <w:p>
      <w:pPr>
        <w:spacing w:after="100" w:before="200"/>
        <w:jc w:val="center"/>
      </w:pPr>
      <w:r>
        <w:rPr>
          <w:color w:val="2563EB"/>
          <w:sz w:val="32"/>
          <w:szCs w:val="32"/>
        </w:rPr>
        <w:t xml:space="preserve">Architecture &amp; Design Reference</w:t>
      </w:r>
    </w:p>
    <w:p>
      <w:pPr>
        <w:spacing w:after="600"/>
        <w:jc w:val="center"/>
      </w:pPr>
      <w:r>
        <w:rPr>
          <w:i/>
          <w:iCs/>
          <w:color w:val="6B7280"/>
          <w:sz w:val="24"/>
          <w:szCs w:val="24"/>
        </w:rPr>
        <w:t xml:space="preserve">Pluto — Autonomous AI Cybersecurity Testing Harness</w:t>
      </w:r>
    </w:p>
    <w:p>
      <w:pPr>
        <w:spacing w:after="40" w:before="1400"/>
        <w:jc w:val="center"/>
      </w:pPr>
      <w:r>
        <w:rPr>
          <w:b/>
          <w:bCs/>
          <w:sz w:val="22"/>
          <w:szCs w:val="22"/>
        </w:rPr>
        <w:t xml:space="preserve">Prepared by the Office of the CTO, Cyber Pluto</w:t>
      </w:r>
    </w:p>
    <w:p>
      <w:pPr>
        <w:spacing w:after="40"/>
        <w:jc w:val="center"/>
      </w:pPr>
      <w:r>
        <w:rPr>
          <w:sz w:val="22"/>
          <w:szCs w:val="22"/>
        </w:rPr>
        <w:t xml:space="preserve">Author: Chaitanya, Chief Technology Officer</w:t>
      </w:r>
    </w:p>
    <w:p>
      <w:pPr>
        <w:spacing w:after="40"/>
        <w:jc w:val="center"/>
      </w:pPr>
      <w:r>
        <w:rPr>
          <w:sz w:val="22"/>
          <w:szCs w:val="22"/>
        </w:rPr>
        <w:t xml:space="preserve">Version 2.0 — September 12, 2026</w:t>
      </w:r>
    </w:p>
    <w:p>
      <w:pPr>
        <w:spacing w:after="40"/>
        <w:jc w:val="center"/>
      </w:pPr>
      <w:r>
        <w:rPr>
          <w:color w:val="6B7280"/>
          <w:sz w:val="20"/>
          <w:szCs w:val="20"/>
        </w:rPr>
        <w:t xml:space="preserve">Supersedes v1.0 (Sept 10, 2026) — Consolidated with VAPT methodology,</w:t>
      </w:r>
    </w:p>
    <w:p>
      <w:pPr>
        <w:spacing w:after="40"/>
        <w:jc w:val="center"/>
      </w:pPr>
      <w:r>
        <w:rPr>
          <w:color w:val="6B7280"/>
          <w:sz w:val="20"/>
          <w:szCs w:val="20"/>
        </w:rPr>
        <w:t xml:space="preserve">bug-bounty compliance research, the two-gate model, and the state schema</w:t>
      </w:r>
    </w:p>
    <w:p>
      <w:pPr>
        <w:spacing w:after="40"/>
        <w:jc w:val="center"/>
      </w:pPr>
      <w:r>
        <w:rPr>
          <w:color w:val="6B7280"/>
          <w:sz w:val="20"/>
          <w:szCs w:val="20"/>
        </w:rPr>
        <w:t xml:space="preserve">Classification: Internal — Living Architecture Document</w:t>
      </w:r>
    </w:p>
    <w:p>
      <w:r>
        <w:br w:type="page"/>
      </w:r>
    </w:p>
    <w:p>
      <w:pPr>
        <w:pStyle w:val="Heading1"/>
        <w:spacing w:after="200" w:before="400"/>
      </w:pPr>
      <w:r>
        <w:t xml:space="preserve">About This Revision (v2.0)</w:t>
      </w:r>
    </w:p>
    <w:p>
      <w:pPr>
        <w:spacing w:after="160" w:line="276"/>
      </w:pPr>
      <w:r>
        <w:rPr>
          <w:sz w:val="22"/>
          <w:szCs w:val="22"/>
        </w:rPr>
        <w:t xml:space="preserve">Version 1.0 established Pluto's five-layer architecture, the decision to fork Pi, the tool core, the field survey, and the initial safety model. Since then we have completed two deep research efforts — one on how real-world VAPT is actually conducted, and one on the operational and compliance rules of the bug bounty platforms Pluto will eventually run against — and used their findings to resolve several open items into concrete design. Version 2.0 folds all of that into a single reference.</w:t>
      </w:r>
    </w:p>
    <w:p>
      <w:pPr>
        <w:spacing w:after="160" w:line="276"/>
      </w:pPr>
      <w:r>
        <w:rPr>
          <w:b/>
          <w:bCs/>
          <w:sz w:val="22"/>
          <w:szCs w:val="22"/>
        </w:rPr>
        <w:t xml:space="preserve">New in this revision:</w:t>
      </w:r>
      <w:r>
        <w:rPr>
          <w:sz w:val="22"/>
          <w:szCs w:val="22"/>
        </w:rPr>
        <w:t xml:space="preserve"/>
      </w:r>
    </w:p>
    <w:p>
      <w:pPr>
        <w:pStyle w:val="ListParagraph"/>
        <w:numPr>
          <w:ilvl w:val="0"/>
          <w:numId w:val="1"/>
        </w:numPr>
        <w:spacing w:after="90" w:line="264"/>
      </w:pPr>
      <w:r>
        <w:t xml:space="preserve">A two-gate model (Section 3) — the central design principle that emerged from the research: Pluto explores aggressively but is hard-gated at exactly two points, before a finding is treated as real and before anything is submitted.</w:t>
      </w:r>
    </w:p>
    <w:p>
      <w:pPr>
        <w:pStyle w:val="ListParagraph"/>
        <w:numPr>
          <w:ilvl w:val="0"/>
          <w:numId w:val="1"/>
        </w:numPr>
        <w:spacing w:after="90" w:line="264"/>
      </w:pPr>
      <w:r>
        <w:t xml:space="preserve">A concrete Layer 2 state schema (Section 4) — the tree-plus-evidence SQLite design, with table definitions, ready for engineering to refine.</w:t>
      </w:r>
    </w:p>
    <w:p>
      <w:pPr>
        <w:pStyle w:val="ListParagraph"/>
        <w:numPr>
          <w:ilvl w:val="0"/>
          <w:numId w:val="1"/>
        </w:numPr>
        <w:spacing w:after="90" w:line="264"/>
      </w:pPr>
      <w:r>
        <w:t xml:space="preserve">A grounding of the design in real-world VAPT methodology (Section 7).</w:t>
      </w:r>
    </w:p>
    <w:p>
      <w:pPr>
        <w:pStyle w:val="ListParagraph"/>
        <w:numPr>
          <w:ilvl w:val="0"/>
          <w:numId w:val="1"/>
        </w:numPr>
        <w:spacing w:after="90" w:line="264"/>
      </w:pPr>
      <w:r>
        <w:t xml:space="preserve">A bug-bounty platform compliance section (Section 8), including the single most consequential external constraint we have found: fully autonomous submission is currently prohibited by the major platforms.</w:t>
      </w:r>
    </w:p>
    <w:p>
      <w:pPr>
        <w:pStyle w:val="ListParagraph"/>
        <w:numPr>
          <w:ilvl w:val="0"/>
          <w:numId w:val="1"/>
        </w:numPr>
        <w:spacing w:after="90" w:line="264"/>
      </w:pPr>
      <w:r>
        <w:t xml:space="preserve">Updated Layer 2 and Layer 4 descriptions, an updated safety model that connects to the two-gate design, and a revised open-items list reflecting what is now decided.</w:t>
      </w:r>
    </w:p>
    <w:p>
      <w:r>
        <w:br w:type="page"/>
      </w:r>
    </w:p>
    <w:p>
      <w:pPr>
        <w:pStyle w:val="Heading1"/>
        <w:spacing w:after="200" w:before="400"/>
      </w:pPr>
      <w:r>
        <w:t xml:space="preserve">Executive Summary</w:t>
      </w:r>
    </w:p>
    <w:p>
      <w:pPr>
        <w:spacing w:after="160" w:line="276"/>
      </w:pPr>
      <w:r>
        <w:rPr>
          <w:sz w:val="22"/>
          <w:szCs w:val="22"/>
        </w:rPr>
        <w:t xml:space="preserve">Cyber Pluto is building Pluto, an autonomous AI cybersecurity testing harness built on Claude as its reasoning core. The initial validation target is HackTheBox-style CTF challenges; the long-term objective is real-world bug bounty engagements. This document is the founding architecture reference for the project: it records every architectural decision made to date, the reasoning behind each one, the competitive and methodological landscape we surveyed, and the open items still to be resolved. It is intended to be the single source of truth that all subsequent design and engineering discussions build on.</w:t>
      </w:r>
    </w:p>
    <w:p>
      <w:pPr>
        <w:spacing w:after="160" w:line="276"/>
      </w:pPr>
      <w:r>
        <w:rPr>
          <w:sz w:val="22"/>
          <w:szCs w:val="22"/>
        </w:rPr>
        <w:t xml:space="preserve">The core of the design is a five-layer architecture — reasoning core, per-target state, tool/execution layer, observation/feedback loop, and a persistent cross-challenge knowledge base — validated against a broad survey of the current state of the art in agentic pentesting frameworks. Our architecture maps closely onto what the strongest performers in this space have independently converged on, which gives us confidence we are not taking on unnecessary architectural risk.</w:t>
      </w:r>
    </w:p>
    <w:p>
      <w:pPr>
        <w:spacing w:after="160" w:line="276"/>
      </w:pPr>
      <w:r>
        <w:rPr>
          <w:sz w:val="22"/>
          <w:szCs w:val="22"/>
        </w:rPr>
        <w:t xml:space="preserve">Two research efforts completed since v1.0 have sharpened the design into a single organizing principle we now call the two-gate model. Pluto is deliberately aggressive and creative during exploration — that is the reasoning core's job and the source of its value — but it is hard-gated at exactly two checkpoints: (1) a validation gate, which no candidate finding may pass until a deterministic, non-LLM check has reproduced it, and (2) a submission gate, which nothing may pass without explicit human approval. The second gate is not merely a safety preference; it is a compliance requirement. Our bug-bounty research found that the major platforms currently prohibit fully autonomous submission outright, mandating a human-in-the-loop model for every finding. This reframes Chaitanya's kill switch from an emergency stop into a permanent, always-on approval gate.</w:t>
      </w:r>
    </w:p>
    <w:p>
      <w:pPr>
        <w:spacing w:after="160" w:line="276"/>
      </w:pPr>
      <w:r>
        <w:rPr>
          <w:sz w:val="22"/>
          <w:szCs w:val="22"/>
        </w:rPr>
        <w:t xml:space="preserve">We have decided to fork and extend Pi (pi.dev) as Pluto's base harness rather than building the agent loop from scratch or adopting Hermes Agent. We have identified the smallest non-negotiable tool core (nmap, nuclei, sqlmap, the ffuf/feroxbuster/gobuster family, and Metasploit), a concrete two-layer SQLite state schema realizing the per-target memory layer, and a safety model combining a human-in-the-loop submission gate with a written red-lines permission file.</w:t>
      </w:r>
    </w:p>
    <w:p>
      <w:r>
        <w:br w:type="page"/>
      </w:r>
    </w:p>
    <w:p>
      <w:pPr>
        <w:pStyle w:val="Heading1"/>
        <w:spacing w:after="200" w:before="400"/>
      </w:pPr>
      <w:r>
        <w:t xml:space="preserve">1. Mission &amp; Scope</w:t>
      </w:r>
    </w:p>
    <w:p>
      <w:pPr>
        <w:pStyle w:val="Heading2"/>
        <w:spacing w:after="150" w:before="300"/>
      </w:pPr>
      <w:r>
        <w:t xml:space="preserve">1.1 What Pluto Is</w:t>
      </w:r>
    </w:p>
    <w:p>
      <w:pPr>
        <w:spacing w:after="160" w:line="276"/>
      </w:pPr>
      <w:r>
        <w:rPr>
          <w:sz w:val="22"/>
          <w:szCs w:val="22"/>
        </w:rPr>
        <w:t xml:space="preserve">Pluto is an autonomous cybersecurity testing agent. Claude serves as its reasoning core — the component responsible for interpreting a target, forming hypotheses, selecting actions, and adapting based on results. Around that reasoning core, Cyber Pluto is building the scaffolding a security agent needs to operate effectively and safely: memory of what it has learned about a target, a library of tools it can invoke, a feedback loop that lets it learn from what worked and what didn't, and a persistent knowledge base that compounds in value across every engagement it runs.</w:t>
      </w:r>
    </w:p>
    <w:p>
      <w:pPr>
        <w:pStyle w:val="Heading2"/>
        <w:spacing w:after="150" w:before="300"/>
      </w:pPr>
      <w:r>
        <w:t xml:space="preserve">1.2 Phased Validation Plan</w:t>
      </w:r>
    </w:p>
    <w:p>
      <w:pPr>
        <w:pStyle w:val="ListParagraph"/>
        <w:numPr>
          <w:ilvl w:val="0"/>
          <w:numId w:val="1"/>
        </w:numPr>
        <w:spacing w:after="90" w:line="264"/>
      </w:pPr>
      <w:r>
        <w:t xml:space="preserve">Phase 1 — Benchmark against HackTheBox-style CTF challenges. This is our proving ground: a controlled, well-understood environment where we can measure how many boxes and networks Pluto can crack, and use that signal to fine-tune the harness.</w:t>
      </w:r>
    </w:p>
    <w:p>
      <w:pPr>
        <w:pStyle w:val="ListParagraph"/>
        <w:numPr>
          <w:ilvl w:val="0"/>
          <w:numId w:val="1"/>
        </w:numPr>
        <w:spacing w:after="90" w:line="264"/>
      </w:pPr>
      <w:r>
        <w:t xml:space="preserve">Phase 2 — Move toward real bug bounty programs once Pluto's CTF performance is strong and consistent, and once the safety, scope-control, and submission-gating mechanisms described in Sections 3, 7, and 9 are proven out in practice.</w:t>
      </w:r>
    </w:p>
    <w:p>
      <w:pPr>
        <w:pStyle w:val="Heading2"/>
        <w:spacing w:after="150" w:before="300"/>
      </w:pPr>
      <w:r>
        <w:t xml:space="preserve">1.3 Guiding Principle: Exploration, Bounded by Two Gates</w:t>
      </w:r>
    </w:p>
    <w:p>
      <w:pPr>
        <w:spacing w:after="160" w:line="276"/>
      </w:pPr>
      <w:r>
        <w:rPr>
          <w:sz w:val="22"/>
          <w:szCs w:val="22"/>
        </w:rPr>
        <w:t xml:space="preserve">Exploration is a continuous, core driving behavior of the harness — not a fallback gated behind known-pattern matching. Pluto should be constantly probing and reasoning about a target, with its knowledge base (CVE data, past solves) acting as an accelerant it can pull into that exploration at any step, rather than a lookup table it only consults after exhausting a fixed playbook.</w:t>
      </w:r>
    </w:p>
    <w:p>
      <w:pPr>
        <w:spacing w:after="160" w:line="276"/>
      </w:pPr>
      <w:r>
        <w:rPr>
          <w:sz w:val="22"/>
          <w:szCs w:val="22"/>
        </w:rPr>
        <w:t xml:space="preserve">The refinement added in v2.0 is that this freedom is deliberately bounded at two — and only two — points: the moment a finding would be treated as real, and the moment anything would leave the system as a submission. Everything between those gates is open exploration; the gates themselves are strict and non-negotiable. This is the principle that shapes the architecture below, and it is developed in full in Section 3.</w:t>
      </w:r>
    </w:p>
    <w:p>
      <w:r>
        <w:br w:type="page"/>
      </w:r>
    </w:p>
    <w:p>
      <w:pPr>
        <w:pStyle w:val="Heading1"/>
        <w:spacing w:after="200" w:before="400"/>
      </w:pPr>
      <w:r>
        <w:t xml:space="preserve">2. System Architecture</w:t>
      </w:r>
    </w:p>
    <w:p>
      <w:pPr>
        <w:spacing w:after="160" w:line="276"/>
      </w:pPr>
      <w:r>
        <w:rPr>
          <w:sz w:val="22"/>
          <w:szCs w:val="22"/>
        </w:rPr>
        <w:t xml:space="preserve">Pluto's architecture consists of five layers. This shape was arrived at independently, then cross-checked against the broader field of agentic pentesting frameworks (see Section 9) — nearly every actively maintained framework we surveyed converges on the same five-part structure, which gives us strong external validation that this is the right shape to build. Two layers, the per-target state layer and the observation loop, carry new detail in v2.0 and are cross-referenced to their own dedicated sections.</w:t>
      </w:r>
    </w:p>
    <w:p>
      <w:pPr>
        <w:pStyle w:val="Heading2"/>
        <w:spacing w:after="150" w:before="300"/>
      </w:pPr>
      <w:r>
        <w:t xml:space="preserve">2.1 Layer 1 — Reasoning Core</w:t>
      </w:r>
    </w:p>
    <w:p>
      <w:pPr>
        <w:spacing w:after="160" w:line="276"/>
      </w:pPr>
      <w:r>
        <w:rPr>
          <w:sz w:val="22"/>
          <w:szCs w:val="22"/>
        </w:rPr>
        <w:t xml:space="preserve">Claude is the reasoning core of Pluto. It is the component that interprets target state, forms hypotheses about vulnerabilities, decides which tools to invoke and with what parameters, and adapts its strategy based on observed results. Unlike architectures that gate exploration behind pattern-matching, Pluto treats exploration as continuous and central — the reasoning core is always actively probing, with the knowledge base (Layer 5) available as an accelerant rather than a prerequisite. The reasoning core is intentionally the creative, aggressive part of the system; the discipline that keeps it trustworthy lives in the gates (Section 3), not in constraining the reasoning itself.</w:t>
      </w:r>
    </w:p>
    <w:p>
      <w:pPr>
        <w:pStyle w:val="Heading2"/>
        <w:spacing w:after="150" w:before="300"/>
      </w:pPr>
      <w:r>
        <w:t xml:space="preserve">2.2 Layer 2 — Per-Target Memory / State</w:t>
      </w:r>
    </w:p>
    <w:p>
      <w:pPr>
        <w:spacing w:after="160" w:line="276"/>
      </w:pPr>
      <w:r>
        <w:rPr>
          <w:sz w:val="22"/>
          <w:szCs w:val="22"/>
        </w:rPr>
        <w:t xml:space="preserve">Each engagement maintains a structured, per-target working memory implemented in SQLite. This is the layer that lets Pluto track everything it has learned about a specific target across a long, multi-step engagement. SQLite was chosen deliberately over a heavier database because it matches the per-engagement, local-first nature of this state, and because SQLite for exactly this kind of state is the dominant pattern across the field (see Section 9.5).</w:t>
      </w:r>
    </w:p>
    <w:p>
      <w:pPr>
        <w:spacing w:after="160" w:line="276"/>
      </w:pPr>
      <w:r>
        <w:rPr>
          <w:sz w:val="22"/>
          <w:szCs w:val="22"/>
        </w:rPr>
        <w:t xml:space="preserve">In v2.0 this layer is specified concretely as a two-part model: a tree/graph layer that captures the live investigation as a branching structure of what is being pursued, and a flatter evidence layer that stores the durable facts discovered. The full schema, with table definitions, is given in Section 4 — it is the part of the design most ready for engineering to pick up and refine.</w:t>
      </w:r>
    </w:p>
    <w:p>
      <w:pPr>
        <w:pStyle w:val="Heading2"/>
        <w:spacing w:after="150" w:before="300"/>
      </w:pPr>
      <w:r>
        <w:t xml:space="preserve">2.3 Layer 3 — Tool / Execution Layer</w:t>
      </w:r>
    </w:p>
    <w:p>
      <w:pPr>
        <w:spacing w:after="160" w:line="276"/>
      </w:pPr>
      <w:r>
        <w:rPr>
          <w:sz w:val="22"/>
          <w:szCs w:val="22"/>
        </w:rPr>
        <w:t xml:space="preserve">Pluto is given shell access and internet access rather than a fixed, curated toolset. This is a deliberate trade-off in favor of exploration flexibility over safety-by-restriction at the tool layer — the safety controls live instead in the gates and governance processes described in Sections 3 and 9 (the validation gate, the human submission gate, and the red-lines file), not in withholding capability from the agent. Every tool Pluto actually invokes is logged in full, which gives us both an audit trail and a dataset we can mine later for the self-learned tier of the knowledge base.</w:t>
      </w:r>
    </w:p>
    <w:p>
      <w:pPr>
        <w:spacing w:after="160" w:line="276"/>
      </w:pPr>
      <w:r>
        <w:rPr>
          <w:sz w:val="22"/>
          <w:szCs w:val="22"/>
        </w:rPr>
        <w:t xml:space="preserve">The non-negotiable starting tool core, derived from cross-referencing the tool arsenals of every major framework surveyed (Section 9.6), is:</w:t>
      </w:r>
    </w:p>
    <w:p>
      <w:pPr>
        <w:pStyle w:val="ListParagraph"/>
        <w:numPr>
          <w:ilvl w:val="0"/>
          <w:numId w:val="1"/>
        </w:numPr>
        <w:spacing w:after="90" w:line="264"/>
      </w:pPr>
      <w:r>
        <w:t xml:space="preserve">nmap — network/port/service scanning, the backbone of nearly every engagement</w:t>
      </w:r>
    </w:p>
    <w:p>
      <w:pPr>
        <w:pStyle w:val="ListParagraph"/>
        <w:numPr>
          <w:ilvl w:val="0"/>
          <w:numId w:val="1"/>
        </w:numPr>
        <w:spacing w:after="90" w:line="264"/>
      </w:pPr>
      <w:r>
        <w:t xml:space="preserve">nuclei — template-based vulnerability scanning</w:t>
      </w:r>
    </w:p>
    <w:p>
      <w:pPr>
        <w:pStyle w:val="ListParagraph"/>
        <w:numPr>
          <w:ilvl w:val="0"/>
          <w:numId w:val="1"/>
        </w:numPr>
        <w:spacing w:after="90" w:line="264"/>
      </w:pPr>
      <w:r>
        <w:t xml:space="preserve">sqlmap — automated SQL injection detection and exploitation</w:t>
      </w:r>
    </w:p>
    <w:p>
      <w:pPr>
        <w:pStyle w:val="ListParagraph"/>
        <w:numPr>
          <w:ilvl w:val="0"/>
          <w:numId w:val="1"/>
        </w:numPr>
        <w:spacing w:after="90" w:line="264"/>
      </w:pPr>
      <w:r>
        <w:t xml:space="preserve">The ffuf / feroxbuster / gobuster family — content and directory discovery</w:t>
      </w:r>
    </w:p>
    <w:p>
      <w:pPr>
        <w:pStyle w:val="ListParagraph"/>
        <w:numPr>
          <w:ilvl w:val="0"/>
          <w:numId w:val="1"/>
        </w:numPr>
        <w:spacing w:after="90" w:line="264"/>
      </w:pPr>
      <w:r>
        <w:t xml:space="preserve">Metasploit Framework — the common exploitation backend across virtually every framework surveyed</w:t>
      </w:r>
    </w:p>
    <w:p>
      <w:pPr>
        <w:spacing w:after="160" w:line="276"/>
      </w:pPr>
      <w:r>
        <w:rPr>
          <w:sz w:val="22"/>
          <w:szCs w:val="22"/>
        </w:rPr>
        <w:t xml:space="preserve">This is intentionally the smallest set we found treated as universal, not the full arsenal Pluto will eventually need. Section 11 (VAPT Tool Survey) lists the broader reference arsenal for future extensibility beyond the initial web + network focus.</w:t>
      </w:r>
    </w:p>
    <w:p>
      <w:pPr>
        <w:pStyle w:val="Heading2"/>
        <w:spacing w:after="150" w:before="300"/>
      </w:pPr>
      <w:r>
        <w:t xml:space="preserve">2.3.1 Vision and Screenshot Pipeline — A Required Custom Addition</w:t>
      </w:r>
    </w:p>
    <w:p>
      <w:pPr>
        <w:spacing w:after="160" w:line="276"/>
      </w:pPr>
      <w:r>
        <w:rPr>
          <w:sz w:val="22"/>
          <w:szCs w:val="22"/>
        </w:rPr>
        <w:t xml:space="preserve">Pi, the base coding-agent harness Pluto is built on (Section 6), does not include a native live screenshot-to-vision loop during agent action — it offers only static image inspection through an extension, not perception of a running browser session as the agent acts. This has to be designed as a custom Pluto extension on top of Pi rather than assumed as inherited capability, and existing field-proven systems confirm both that it is necessary and roughly how to build it.</w:t>
      </w:r>
    </w:p>
    <w:p>
      <w:pPr>
        <w:spacing w:after="160" w:line="276"/>
      </w:pPr>
      <w:r>
        <w:rPr>
          <w:sz w:val="22"/>
          <w:szCs w:val="22"/>
        </w:rPr>
        <w:t xml:space="preserve">XBOW's own account of how it reached the top of an autonomous pentesting leaderboard describes using a headless browser to capture website screenshots, then applying image-hashing techniques for visual similarity analysis to group and triage assets efficiently. Strix takes a related but distinct approach for client-side vulnerability classes, driving an actual browser to explore client-side paths such as cross-site scripting or cross-site request forgery, rather than relying on static, after-the-fact image capture alone.</w:t>
      </w:r>
    </w:p>
    <w:p>
      <w:pPr>
        <w:spacing w:after="160" w:line="276"/>
      </w:pPr>
      <w:r>
        <w:rPr>
          <w:sz w:val="22"/>
          <w:szCs w:val="22"/>
        </w:rPr>
        <w:t xml:space="preserve">For Pluto, the pragmatic design is closer to XBOW's: a headless browser instance captured at exploitation-relevant moments (after a payload is submitted, when a new page state loads, when a pop-up or CAPTCHA is suspected), with the resulting image fed to Claude's vision input for interpretation, rather than a full live action-perception loop. This keeps the addition scoped and buildable rather than requiring a general-purpose computer-use capability Pi does not provide. This vision pipeline is flagged for formal addition to Layer 3 alongside the tool core above; it has not yet been reflected in the SQLite schema (Section 4) and should be, likely as a new evidence type alongside findings.</w:t>
      </w:r>
    </w:p>
    <w:p>
      <w:pPr>
        <w:pStyle w:val="Heading2"/>
        <w:spacing w:after="150" w:before="300"/>
      </w:pPr>
      <w:r>
        <w:t xml:space="preserve">2.3.2 Exploitation Backend, Resolved: Metasploit-First, Custom-on-Demand</w:t>
      </w:r>
    </w:p>
    <w:p>
      <w:pPr>
        <w:spacing w:after="160" w:line="276"/>
      </w:pPr>
      <w:r>
        <w:rPr>
          <w:sz w:val="22"/>
          <w:szCs w:val="22"/>
        </w:rPr>
        <w:t xml:space="preserve">A real-world scenario sharpened this decision: a target web portal accepts uploads through an FTP path, and the goal is a purpose-built backdoor delivered through that path to obtain a reverse shell. No Metasploit module fits a bespoke upload mechanism like this by definition, so Pluto's exploitation layer cannot be Metasploit-only. Existing multi-agent pentesting architectures confirm the resolution: an exploitation agent that integrates with Metasploit, custom exploit scripts, and AI-driven payload generation side by side, selecting whichever fits the specific finding rather than committing to one exclusively.</w:t>
      </w:r>
    </w:p>
    <w:p>
      <w:pPr>
        <w:spacing w:after="160" w:line="276"/>
      </w:pPr>
      <w:r>
        <w:rPr>
          <w:sz w:val="22"/>
          <w:szCs w:val="22"/>
        </w:rPr>
        <w:t xml:space="preserve">Pluto adopts this as Metasploit-first, custom-on-demand: for a given validated finding, the reasoning core first checks whether an existing Metasploit module fits the target's exact shape. If one does, it is used directly, since a maintained module is more reliable than a freshly written one. If none fits — as in the bespoke-FTP-upload scenario — the reasoning core writes the specific delivery mechanism itself: the payload, the encoding or transport needed to get it through the target path, and the listener to catch the resulting connection. This is a proven pattern, not a novel risk: a documented walkthrough shows Claude connected to Metasploit through the Model Context Protocol handling exactly this mix within one engagement, scanning, selecting and launching existing modules, and separately building and delivering a custom payload, all under a human permission gate on every offensive step.</w:t>
      </w:r>
    </w:p>
    <w:p>
      <w:pPr>
        <w:spacing w:after="160" w:line="276"/>
      </w:pPr>
      <w:r>
        <w:rPr>
          <w:sz w:val="22"/>
          <w:szCs w:val="22"/>
        </w:rPr>
        <w:t xml:space="preserve">That permission gate is the important detail Pluto inherits directly: custom payload generation and delivery is exploitation activity, so it sits behind the same gates as any other exploitation step (Section 3) — proposed, logged as an attempts row with its generated code retained as evidence, and, for anything beyond a lab or CTF context, subject to the same human-in-the-loop discipline before execution. The red-lines file (Section 10, still open) should specify any classes of custom payload behavior that require explicit human sign-off before the reasoning core writes them at all, not only before they are sent.</w:t>
      </w:r>
    </w:p>
    <w:p>
      <w:pPr>
        <w:pStyle w:val="Heading2"/>
        <w:spacing w:after="150" w:before="300"/>
      </w:pPr>
      <w:r>
        <w:t xml:space="preserve">2.4 Layer 4 — Observation / Feedback Loop</w:t>
      </w:r>
    </w:p>
    <w:p>
      <w:pPr>
        <w:spacing w:after="160" w:line="276"/>
      </w:pPr>
      <w:r>
        <w:rPr>
          <w:sz w:val="22"/>
          <w:szCs w:val="22"/>
        </w:rPr>
        <w:t xml:space="preserve">An observation and feedback loop sits between action and the next decision: Pluto executes a tool, observes the result, updates its per-target state (Layer 2), and reasons about its next move in light of that outcome. This loop is what lets Pluto adapt within a single engagement rather than executing a static, pre-planned sequence of steps.</w:t>
      </w:r>
    </w:p>
    <w:p>
      <w:pPr>
        <w:spacing w:after="160" w:line="276"/>
      </w:pPr>
      <w:r>
        <w:rPr>
          <w:sz w:val="22"/>
          <w:szCs w:val="22"/>
        </w:rPr>
        <w:t xml:space="preserve">In v2.0 this layer takes on two additional, explicit responsibilities beyond simple observe-act cycling. First, it owns the validation gate (Section 3): when the reasoning core proposes that something is a real finding, the observation loop is where a deterministic, non-LLM validator runs to confirm or reject it before it is written to state as validated. Second, it owns the stall detector: it watches for N consecutive dead attempts or an absence of new growth in the investigation tree, and when triggered, it opens a new line of inquiry and re-prompts the reasoning core with the full accumulated state, re-querying the knowledge base for past-solved challenges of similar shape. Comparable frameworks formalize this loop in different ways worth studying — PentestGPT's Pentesting Task Tree, Pentest-Swarm-AI's RECON → HYPOTHESIS → TEST → CONFIRM cycle, and CyberStrike's 3-gate PoC validation are the closest reference designs (Section 9).</w:t>
      </w:r>
    </w:p>
    <w:p>
      <w:pPr>
        <w:pStyle w:val="Heading2"/>
        <w:spacing w:after="150" w:before="300"/>
      </w:pPr>
      <w:r>
        <w:t xml:space="preserve">2.5 Layer 5 — Persistent Cross-Challenge Knowledge Base</w:t>
      </w:r>
    </w:p>
    <w:p>
      <w:pPr>
        <w:spacing w:after="160" w:line="276"/>
      </w:pPr>
      <w:r>
        <w:rPr>
          <w:sz w:val="22"/>
          <w:szCs w:val="22"/>
        </w:rPr>
        <w:t xml:space="preserve">Above the per-target state layer sits a persistent knowledge base that carries learning across engagements, implemented as a vector store to support fuzzy matching against past solves and known CVEs. It has two tiers:</w:t>
      </w:r>
    </w:p>
    <w:p>
      <w:pPr>
        <w:pStyle w:val="ListParagraph"/>
        <w:numPr>
          <w:ilvl w:val="0"/>
          <w:numId w:val="1"/>
        </w:numPr>
        <w:spacing w:after="90" w:line="264"/>
      </w:pPr>
      <w:r>
        <w:t xml:space="preserve">Seeded tier — ingests known CVE databases and public exploit data up front, giving Pluto a baseline of known-exploit knowledge from day one.</w:t>
      </w:r>
    </w:p>
    <w:p>
      <w:pPr>
        <w:pStyle w:val="ListParagraph"/>
        <w:numPr>
          <w:ilvl w:val="0"/>
          <w:numId w:val="1"/>
        </w:numPr>
        <w:spacing w:after="90" w:line="264"/>
      </w:pPr>
      <w:r>
        <w:t xml:space="preserve">Self-learned tier — distilled from Pluto's own solved challenges over time, so the harness compounds in capability the more it runs.</w:t>
      </w:r>
    </w:p>
    <w:p>
      <w:pPr>
        <w:spacing w:after="160" w:line="276"/>
      </w:pPr>
      <w:r>
        <w:rPr>
          <w:sz w:val="22"/>
          <w:szCs w:val="22"/>
        </w:rPr>
        <w:t xml:space="preserve">A key behavioral decision connects Layer 5 to Layer 2: the moment a service version is fingerprinted and written into the evidence layer, that write should actively trigger a knowledge-base query, which may in turn spawn a new, prioritized child node in the investigation tree. The knowledge base is thus pulled into exploration continuously and automatically, consistent with the guiding principle in Section 1.3, rather than being consulted only on demand. Reference design to study for the seeded tier: LLM4Pentest's four-source RAG approach (PentestMonkey, CAPEC, OWASP WSTG, and CISA KEV).</w:t>
      </w:r>
    </w:p>
    <w:p>
      <w:r>
        <w:br w:type="page"/>
      </w:r>
    </w:p>
    <w:p>
      <w:pPr>
        <w:pStyle w:val="Heading1"/>
        <w:spacing w:after="200" w:before="400"/>
      </w:pPr>
      <w:r>
        <w:t xml:space="preserve">3. The Two-Gate Model</w:t>
      </w:r>
    </w:p>
    <w:p>
      <w:pPr>
        <w:spacing w:after="160" w:line="276"/>
      </w:pPr>
      <w:r>
        <w:rPr>
          <w:sz w:val="22"/>
          <w:szCs w:val="22"/>
        </w:rPr>
        <w:t xml:space="preserve">The two-gate model is the central organizing principle of Pluto's design, and the main conceptual output of the research completed since v1.0. It resolves a tension that every autonomous security agent faces: the same autonomy that makes an agent valuable at finding vulnerabilities makes it dangerous when it reports things that are not real, or takes actions it should not. Pluto's answer is to separate the two concerns cleanly. Exploration is unconstrained; consequences are gated.</w:t>
      </w:r>
    </w:p>
    <w:tbl>
      <w:tblPr>
        <w:tblW w:type="dxa" w:w="9360"/>
        <w:tblBorders>
          <w:top w:val="single" w:color="D97706" w:sz="4"/>
          <w:left w:val="single" w:color="D97706" w:sz="18"/>
          <w:bottom w:val="single" w:color="D97706" w:sz="4"/>
          <w:right w:val="single" w:color="D97706" w:sz="4"/>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b/>
                <w:bCs/>
                <w:color w:val="92400E"/>
                <w:sz w:val="22"/>
                <w:szCs w:val="22"/>
              </w:rPr>
              <w:t xml:space="preserve">The principle in one sentence</w:t>
            </w:r>
          </w:p>
          <w:p>
            <w:r>
              <w:rPr>
                <w:color w:val="1F2937"/>
                <w:sz w:val="21"/>
                <w:szCs w:val="21"/>
              </w:rPr>
              <w:t xml:space="preserve">Pluto may explore, hypothesize, and chain freely — but no candidate may be treated as a real finding until a deterministic validator reproduces it (Gate 1), and nothing may be submitted to any external program without explicit human approval (Gate 2).</w:t>
            </w:r>
          </w:p>
        </w:tc>
      </w:tr>
    </w:tbl>
    <w:p>
      <w:pPr>
        <w:spacing w:before="160"/>
      </w:pPr>
    </w:p>
    <w:p>
      <w:pPr>
        <w:pStyle w:val="Heading2"/>
        <w:spacing w:after="150" w:before="300"/>
      </w:pPr>
      <w:r>
        <w:t xml:space="preserve">3.1 Gate 1 — The Validation Gate (confirm-before-real)</w:t>
      </w:r>
    </w:p>
    <w:p>
      <w:pPr>
        <w:spacing w:after="160" w:line="276"/>
      </w:pPr>
      <w:r>
        <w:rPr>
          <w:sz w:val="22"/>
          <w:szCs w:val="22"/>
        </w:rPr>
        <w:t xml:space="preserve">The first gate sits inside the observation loop (Layer 4), between a candidate finding and its being recorded as a confirmed one. The reasoning core is explicitly permitted — encouraged, even — to be optimistic and creative in proposing that something might be exploitable. But its judgment alone is never sufficient to mark a finding real. Before a candidate is promoted to validated in the state layer, a deterministic, non-LLM check must reproduce the effect: replay the request, compare against a baseline, and confirm a measurable, reproducible difference in behavior.</w:t>
      </w:r>
    </w:p>
    <w:p>
      <w:pPr>
        <w:spacing w:after="160" w:line="276"/>
      </w:pPr>
      <w:r>
        <w:rPr>
          <w:sz w:val="22"/>
          <w:szCs w:val="22"/>
        </w:rPr>
        <w:t xml:space="preserve">This is directly modeled on two of the strongest patterns found in the field survey. CyberStrike's 3-gate PoC validation (baseline request → attack → compare, reporting only on a measurable difference) is the mechanism. XBOW — the first AI to reach #1 on HackerOne's US leaderboard — is the proof it works at scale: its edge came specifically from deterministic validators that killed false positives before a human ever reviewed them, which is what made its human-in-the-loop step fast enough to be practical. VAPT methodology (Section 7) reinforces the same discipline from the human-practitioner side, where a mandatory vulnerability-confirmation step separates a scanner's hypothesis from a confirmed, evidenced finding.</w:t>
      </w:r>
    </w:p>
    <w:p>
      <w:pPr>
        <w:spacing w:after="160" w:line="276"/>
      </w:pPr>
      <w:r>
        <w:rPr>
          <w:b/>
          <w:bCs/>
          <w:sz w:val="22"/>
          <w:szCs w:val="22"/>
        </w:rPr>
        <w:t xml:space="preserve">Why it matters for Pluto specifically: </w:t>
      </w:r>
      <w:r>
        <w:rPr>
          <w:sz w:val="22"/>
          <w:szCs w:val="22"/>
        </w:rPr>
        <w:t xml:space="preserve">the validation gate is what keeps Gate 2 from becoming a bottleneck. If everything reaching the human has already been deterministically reproduced, the human's job is fast quality confirmation, not doing the real triage work. Gate 1 exists in large part to make Gate 2 survivable at volume.</w:t>
      </w:r>
    </w:p>
    <w:p>
      <w:pPr>
        <w:pStyle w:val="Heading2"/>
        <w:spacing w:after="150" w:before="300"/>
      </w:pPr>
      <w:r>
        <w:t xml:space="preserve">3.2 Gate 2 — The Submission Gate (confirm-before-submission)</w:t>
      </w:r>
    </w:p>
    <w:p>
      <w:pPr>
        <w:spacing w:after="160" w:line="276"/>
      </w:pPr>
      <w:r>
        <w:rPr>
          <w:sz w:val="22"/>
          <w:szCs w:val="22"/>
        </w:rPr>
        <w:t xml:space="preserve">The second gate sits at the boundary of the system: nothing may be submitted to any external bug bounty program without explicit human approval. This is a hard stop, not automatable, no matter how confident Pluto is and no matter how thoroughly Gate 1 has validated the finding.</w:t>
      </w:r>
    </w:p>
    <w:p>
      <w:pPr>
        <w:spacing w:after="160" w:line="276"/>
      </w:pPr>
      <w:r>
        <w:rPr>
          <w:sz w:val="22"/>
          <w:szCs w:val="22"/>
        </w:rPr>
        <w:t xml:space="preserve">Critically, this gate is not merely a safety preference we have chosen — it is an external compliance requirement. As detailed in Section 8, the major bug bounty platforms currently prohibit fully autonomous submission. HackerOne's Code of Conduct mandates a hacker-in-the-loop model requiring human validation of every finding before submission; Bugcrowd holds human operators accountable for their submissions and, as of a March 2026 policy change, is actively banning bulk AI-generated low-quality reports. The cURL program's shutdown after being overwhelmed by AI-generated slop is the cautionary precedent. For Pluto, this means the human submission gate is a permanent architectural fixture, required for compliance, and must not be relaxed as Pluto's capability improves.</w:t>
      </w:r>
    </w:p>
    <w:p>
      <w:pPr>
        <w:pStyle w:val="Heading2"/>
        <w:spacing w:after="150" w:before="300"/>
      </w:pPr>
      <w:r>
        <w:t xml:space="preserve">3.3 What the Two Gates Change About the Kill Switch</w:t>
      </w:r>
    </w:p>
    <w:p>
      <w:pPr>
        <w:spacing w:after="160" w:line="276"/>
      </w:pPr>
      <w:r>
        <w:rPr>
          <w:sz w:val="22"/>
          <w:szCs w:val="22"/>
        </w:rPr>
        <w:t xml:space="preserve">In v1.0 the human-in-the-loop was described primarily as a kill switch — an emergency stop Chaitanya could use if something went wrong. The two-gate model reframes it. The human is no longer only an emergency brake; the human is a mandatory, always-on checkpoint that every would-be submission passes through by design. The kill-switch capability remains (the ability to halt the harness at any moment), but it is now the floor of the human's role, not the ceiling. This reframing is why the submission gate appears throughout the rest of this document as a first-class architectural element rather than an operational nicety.</w:t>
      </w:r>
    </w:p>
    <w:p>
      <w:pPr>
        <w:pStyle w:val="Heading2"/>
        <w:spacing w:after="150" w:before="300"/>
      </w:pPr>
      <w:r>
        <w:t xml:space="preserve">3.4 How the Gates Appear in the Rest of the System</w:t>
      </w:r>
    </w:p>
    <w:p>
      <w:pPr>
        <w:pStyle w:val="ListParagraph"/>
        <w:numPr>
          <w:ilvl w:val="0"/>
          <w:numId w:val="1"/>
        </w:numPr>
        <w:spacing w:after="90" w:line="264"/>
      </w:pPr>
      <w:r>
        <w:t xml:space="preserve">In the state schema (Section 4), the two gates are realized directly as a status lifecycle on each finding: candidate → validated → submitted, with dedicated validation and submission records capturing what happened at each gate.</w:t>
      </w:r>
    </w:p>
    <w:p>
      <w:pPr>
        <w:pStyle w:val="ListParagraph"/>
        <w:numPr>
          <w:ilvl w:val="0"/>
          <w:numId w:val="1"/>
        </w:numPr>
        <w:spacing w:after="90" w:line="264"/>
      </w:pPr>
      <w:r>
        <w:t xml:space="preserve">In the observation loop (Layer 4, Section 2.4), Gate 1 is the deterministic-validator step that runs before a candidate is promoted.</w:t>
      </w:r>
    </w:p>
    <w:p>
      <w:pPr>
        <w:pStyle w:val="ListParagraph"/>
        <w:numPr>
          <w:ilvl w:val="0"/>
          <w:numId w:val="1"/>
        </w:numPr>
        <w:spacing w:after="90" w:line="264"/>
      </w:pPr>
      <w:r>
        <w:t xml:space="preserve">In the safety model (Section 10), Gate 2 is the human submission gate, and the red-lines file governs actions during exploration between the gates.</w:t>
      </w:r>
    </w:p>
    <w:p>
      <w:pPr>
        <w:pStyle w:val="Heading2"/>
        <w:spacing w:after="150" w:before="300"/>
      </w:pPr>
      <w:r>
        <w:t xml:space="preserve">3.5 Refinement: Verifiable-Step Chaining Within Gate 1</w:t>
      </w:r>
    </w:p>
    <w:p>
      <w:pPr>
        <w:spacing w:after="160" w:line="276"/>
      </w:pPr>
      <w:r>
        <w:rPr>
          <w:sz w:val="22"/>
          <w:szCs w:val="22"/>
        </w:rPr>
        <w:t xml:space="preserve">Field experience from XBOW, a leading autonomous pentesting platform, sharpens how Gate 1 validation should actually be structured internally. Their stated principle is that validating only the end result of an exploitation attempt leaves too much room for error and hallucination, precisely because the reasoning core is non-deterministic and can produce a different answer if asked the same thing twice.</w:t>
      </w:r>
    </w:p>
    <w:p>
      <w:pPr>
        <w:spacing w:after="160" w:line="276"/>
      </w:pPr>
      <w:r>
        <w:rPr>
          <w:sz w:val="22"/>
          <w:szCs w:val="22"/>
        </w:rPr>
        <w:t xml:space="preserve">Their approach breaks an exploitation attempt into a chain of small, independently verifiable steps rather than one large claim checked once at the end — for an IDOR-style finding, that means verifying the endpoint exists, then separately verifying an object reference is present within it, then separately verifying that reference is reachable, then separately verifying it is reachable specifically when it should not be. Each link in the chain is checked before the next is attempted.</w:t>
      </w:r>
    </w:p>
    <w:p>
      <w:pPr>
        <w:spacing w:after="160" w:line="276"/>
      </w:pPr>
      <w:r>
        <w:rPr>
          <w:sz w:val="22"/>
          <w:szCs w:val="22"/>
        </w:rPr>
        <w:t xml:space="preserve">This refines, rather than replaces, Pluto's existing two-gate design. Gate 1 remains the deterministic, non-LLM confirmation step (Section 3.1), but it should be applied at each meaningful step of an exploitation attempt as it unfolds, not only once at the point a finding is claimed complete. A candidate finding's path through the node tree (Section 4.2) should carry verification checkpoints at each step, not just a single validation record at the end — reducing the chance that a plausible-sounding multi-step chain is accepted on the strength of its final claim alone.</w:t>
      </w:r>
    </w:p>
    <w:p>
      <w:r>
        <w:br w:type="page"/>
      </w:r>
    </w:p>
    <w:p>
      <w:pPr>
        <w:pStyle w:val="Heading1"/>
        <w:spacing w:after="200" w:before="400"/>
      </w:pPr>
      <w:r>
        <w:t xml:space="preserve">4. Layer 2 Data Model — The SQLite State Schema</w:t>
      </w:r>
    </w:p>
    <w:p>
      <w:pPr>
        <w:spacing w:after="160" w:line="276"/>
      </w:pPr>
      <w:r>
        <w:rPr>
          <w:sz w:val="22"/>
          <w:szCs w:val="22"/>
        </w:rPr>
        <w:t xml:space="preserve">This section specifies the concrete state schema realizing Layer 2. It is the design most ready for engineering to refine into DDL and migrations. The model has two parts working together: a tree/graph layer that captures the live investigation as a branching structure of what is being pursued, and an evidence layer that stores the durable facts discovered. The tree references the evidence rather than duplicating it. Layered on top is a status lifecycle that realizes the two gates (Section 3) directly in the data.</w:t>
      </w:r>
    </w:p>
    <w:p>
      <w:pPr>
        <w:pStyle w:val="Heading2"/>
        <w:spacing w:after="150" w:before="300"/>
      </w:pPr>
      <w:r>
        <w:t xml:space="preserve">4.1 Design Rationale</w:t>
      </w:r>
    </w:p>
    <w:p>
      <w:pPr>
        <w:spacing w:after="160" w:line="276"/>
      </w:pPr>
      <w:r>
        <w:rPr>
          <w:sz w:val="22"/>
          <w:szCs w:val="22"/>
        </w:rPr>
        <w:t xml:space="preserve">The problem this schema solves is the one every long-session pentest agent hits: how to remember, over hundreds of steps, what has been tried, what worked, what was a dead end, and what is still worth pursuing — without losing the thread or re-treading ground. Two reference designs shaped this: PentestGPT's Pentesting Task Tree, which uses an explicit tree to fight LLM context loss over long sessions, and pentest-ai-agents' deduplicated SQLite findings database indexed on cve and tool_used. Pluto combines both ideas: a tree for live investigation structure, a normalized evidence store for facts, joined by foreign keys.</w:t>
      </w:r>
    </w:p>
    <w:p>
      <w:pPr>
        <w:pStyle w:val="ListParagraph"/>
        <w:numPr>
          <w:ilvl w:val="0"/>
          <w:numId w:val="1"/>
        </w:numPr>
        <w:spacing w:after="90" w:line="264"/>
      </w:pPr>
      <w:r>
        <w:t xml:space="preserve">Dead ends are never deleted. A branch that fails is marked with a status, not removed, so Pluto never re-explores a known dead end and retains the negative results that are themselves valuable signal.</w:t>
      </w:r>
    </w:p>
    <w:p>
      <w:pPr>
        <w:pStyle w:val="ListParagraph"/>
        <w:numPr>
          <w:ilvl w:val="0"/>
          <w:numId w:val="1"/>
        </w:numPr>
        <w:spacing w:after="90" w:line="264"/>
      </w:pPr>
      <w:r>
        <w:t xml:space="preserve">The tree holds structure and intent; the evidence tables hold facts. A tree node points at the evidence rows it concerns via foreign keys, so a fact discovered once is stored once and referenced from wherever it is relevant.</w:t>
      </w:r>
    </w:p>
    <w:p>
      <w:pPr>
        <w:pStyle w:val="ListParagraph"/>
        <w:numPr>
          <w:ilvl w:val="0"/>
          <w:numId w:val="1"/>
        </w:numPr>
        <w:spacing w:after="90" w:line="264"/>
      </w:pPr>
      <w:r>
        <w:t xml:space="preserve">The two gates live in the data as a status field on findings, so both the investigation tree and the gate logic have a single, authoritative thing to check against.</w:t>
      </w:r>
    </w:p>
    <w:p>
      <w:pPr>
        <w:pStyle w:val="Heading2"/>
        <w:spacing w:after="150" w:before="300"/>
      </w:pPr>
      <w:r>
        <w:t xml:space="preserve">4.2 The Tree / Graph Layer</w:t>
      </w:r>
    </w:p>
    <w:p>
      <w:pPr>
        <w:spacing w:after="160" w:line="276"/>
      </w:pPr>
      <w:r>
        <w:rPr>
          <w:sz w:val="22"/>
          <w:szCs w:val="22"/>
        </w:rPr>
        <w:t xml:space="preserve">Two tables carry the live investigation structure. targets is the root record for an engagement; nodes is a self-referencing tree where each node represents a line of inquiry — a recon sweep, a specific port to investigate, a vulnerability hypothesis, an exploit attempt, or a cross-service idea that ties two findings together.</w:t>
      </w:r>
    </w:p>
    <w:tbl>
      <w:tblPr>
        <w:tblW w:type="dxa" w:w="9360"/>
        <w:tblBorders>
          <w:top w:val="single" w:color="0F172A" w:sz="2"/>
          <w:left w:val="single" w:color="0F172A" w:sz="2"/>
          <w:bottom w:val="single" w:color="0F172A" w:sz="2"/>
          <w:right w:val="single" w:color="0F172A" w:sz="2"/>
          <w:insideH w:val="none"/>
          <w:insideV w:val="none"/>
        </w:tblBorders>
      </w:tblPr>
      <w:tblGrid>
        <w:gridCol w:w="9360"/>
      </w:tblGrid>
      <w:tr>
        <w:tc>
          <w:tcPr>
            <w:tcW w:type="dxa" w:w="9360"/>
            <w:shd w:fill="0F172A" w:val="clear"/>
            <w:tcMar>
              <w:top w:type="dxa" w:w="120"/>
              <w:left w:type="dxa" w:w="160"/>
              <w:bottom w:type="dxa" w:w="120"/>
              <w:right w:type="dxa" w:w="160"/>
            </w:tcMar>
          </w:tcPr>
          <w:p>
            <w:pPr>
              <w:spacing w:after="0" w:line="240"/>
            </w:pPr>
            <w:r>
              <w:rPr>
                <w:rFonts w:ascii="Consolas" w:cs="Consolas" w:eastAsia="Consolas" w:hAnsi="Consolas"/>
                <w:color w:val="E2E8F0"/>
                <w:sz w:val="18"/>
                <w:szCs w:val="18"/>
              </w:rPr>
              <w:t xml:space="preserve">CREATE TABLE targets (</w:t>
            </w:r>
          </w:p>
          <w:p>
            <w:pPr>
              <w:spacing w:after="0" w:line="240"/>
            </w:pPr>
            <w:r>
              <w:rPr>
                <w:rFonts w:ascii="Consolas" w:cs="Consolas" w:eastAsia="Consolas" w:hAnsi="Consolas"/>
                <w:color w:val="E2E8F0"/>
                <w:sz w:val="18"/>
                <w:szCs w:val="18"/>
              </w:rPr>
              <w:t xml:space="preserve">  id           INTEGER PRIMARY KEY,</w:t>
            </w:r>
          </w:p>
          <w:p>
            <w:pPr>
              <w:spacing w:after="0" w:line="240"/>
            </w:pPr>
            <w:r>
              <w:rPr>
                <w:rFonts w:ascii="Consolas" w:cs="Consolas" w:eastAsia="Consolas" w:hAnsi="Consolas"/>
                <w:color w:val="E2E8F0"/>
                <w:sz w:val="18"/>
                <w:szCs w:val="18"/>
              </w:rPr>
              <w:t xml:space="preserve">  label        TEXT NOT NULL,          -- e.g. 'HTB::Cascade' or program handle</w:t>
            </w:r>
          </w:p>
          <w:p>
            <w:pPr>
              <w:spacing w:after="0" w:line="240"/>
            </w:pPr>
            <w:r>
              <w:rPr>
                <w:rFonts w:ascii="Consolas" w:cs="Consolas" w:eastAsia="Consolas" w:hAnsi="Consolas"/>
                <w:color w:val="E2E8F0"/>
                <w:sz w:val="18"/>
                <w:szCs w:val="18"/>
              </w:rPr>
              <w:t xml:space="preserve">  host         TEXT,                   -- ip / hostname in scope</w:t>
            </w:r>
          </w:p>
          <w:p>
            <w:pPr>
              <w:spacing w:after="0" w:line="240"/>
            </w:pPr>
            <w:r>
              <w:rPr>
                <w:rFonts w:ascii="Consolas" w:cs="Consolas" w:eastAsia="Consolas" w:hAnsi="Consolas"/>
                <w:color w:val="E2E8F0"/>
                <w:sz w:val="18"/>
                <w:szCs w:val="18"/>
              </w:rPr>
              <w:t xml:space="preserve">  scope_notes  TEXT,                   -- ROE, rate limits, in/out-of-scope</w:t>
            </w:r>
          </w:p>
          <w:p>
            <w:pPr>
              <w:spacing w:after="0" w:line="240"/>
            </w:pPr>
            <w:r>
              <w:rPr>
                <w:rFonts w:ascii="Consolas" w:cs="Consolas" w:eastAsia="Consolas" w:hAnsi="Consolas"/>
                <w:color w:val="E2E8F0"/>
                <w:sz w:val="18"/>
                <w:szCs w:val="18"/>
              </w:rPr>
              <w:t xml:space="preserve">  phase        TEXT DEFAULT 'recon',   -- recon|enum|vuln|exploit|post|report</w:t>
            </w:r>
          </w:p>
          <w:p>
            <w:pPr>
              <w:spacing w:after="0" w:line="240"/>
            </w:pPr>
            <w:r>
              <w:rPr>
                <w:rFonts w:ascii="Consolas" w:cs="Consolas" w:eastAsia="Consolas" w:hAnsi="Consolas"/>
                <w:color w:val="E2E8F0"/>
                <w:sz w:val="18"/>
                <w:szCs w:val="18"/>
              </w:rPr>
              <w:t xml:space="preserve">  created_at   TEXT DEFAULT (datetime('now'))</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CREATE TABLE nodes (</w:t>
            </w:r>
          </w:p>
          <w:p>
            <w:pPr>
              <w:spacing w:after="0" w:line="240"/>
            </w:pPr>
            <w:r>
              <w:rPr>
                <w:rFonts w:ascii="Consolas" w:cs="Consolas" w:eastAsia="Consolas" w:hAnsi="Consolas"/>
                <w:color w:val="E2E8F0"/>
                <w:sz w:val="18"/>
                <w:szCs w:val="18"/>
              </w:rPr>
              <w:t xml:space="preserve">  id           INTEGER PRIMARY KEY,</w:t>
            </w:r>
          </w:p>
          <w:p>
            <w:pPr>
              <w:spacing w:after="0" w:line="240"/>
            </w:pPr>
            <w:r>
              <w:rPr>
                <w:rFonts w:ascii="Consolas" w:cs="Consolas" w:eastAsia="Consolas" w:hAnsi="Consolas"/>
                <w:color w:val="E2E8F0"/>
                <w:sz w:val="18"/>
                <w:szCs w:val="18"/>
              </w:rPr>
              <w:t xml:space="preserve">  target_id    INTEGER NOT NULL REFERENCES targets(id),</w:t>
            </w:r>
          </w:p>
          <w:p>
            <w:pPr>
              <w:spacing w:after="0" w:line="240"/>
            </w:pPr>
            <w:r>
              <w:rPr>
                <w:rFonts w:ascii="Consolas" w:cs="Consolas" w:eastAsia="Consolas" w:hAnsi="Consolas"/>
                <w:color w:val="E2E8F0"/>
                <w:sz w:val="18"/>
                <w:szCs w:val="18"/>
              </w:rPr>
              <w:t xml:space="preserve">  parent_id    INTEGER REFERENCES nodes(id),   -- NULL = root; self-ref = tree</w:t>
            </w:r>
          </w:p>
          <w:p>
            <w:pPr>
              <w:spacing w:after="0" w:line="240"/>
            </w:pPr>
            <w:r>
              <w:rPr>
                <w:rFonts w:ascii="Consolas" w:cs="Consolas" w:eastAsia="Consolas" w:hAnsi="Consolas"/>
                <w:color w:val="E2E8F0"/>
                <w:sz w:val="18"/>
                <w:szCs w:val="18"/>
              </w:rPr>
              <w:t xml:space="preserve">  node_type    TEXT NOT NULL,   -- recon | investigate_port | service_enum |</w:t>
            </w:r>
          </w:p>
          <w:p>
            <w:pPr>
              <w:spacing w:after="0" w:line="240"/>
            </w:pPr>
            <w:r>
              <w:rPr>
                <w:rFonts w:ascii="Consolas" w:cs="Consolas" w:eastAsia="Consolas" w:hAnsi="Consolas"/>
                <w:color w:val="E2E8F0"/>
                <w:sz w:val="18"/>
                <w:szCs w:val="18"/>
              </w:rPr>
              <w:t xml:space="preserve">                                -- vuln_hypothesis | exploit_attempt |</w:t>
            </w:r>
          </w:p>
          <w:p>
            <w:pPr>
              <w:spacing w:after="0" w:line="240"/>
            </w:pPr>
            <w:r>
              <w:rPr>
                <w:rFonts w:ascii="Consolas" w:cs="Consolas" w:eastAsia="Consolas" w:hAnsi="Consolas"/>
                <w:color w:val="E2E8F0"/>
                <w:sz w:val="18"/>
                <w:szCs w:val="18"/>
              </w:rPr>
              <w:t xml:space="preserve">                                -- cross_service_hypothesis | dead_end</w:t>
            </w:r>
          </w:p>
          <w:p>
            <w:pPr>
              <w:spacing w:after="0" w:line="240"/>
            </w:pPr>
            <w:r>
              <w:rPr>
                <w:rFonts w:ascii="Consolas" w:cs="Consolas" w:eastAsia="Consolas" w:hAnsi="Consolas"/>
                <w:color w:val="E2E8F0"/>
                <w:sz w:val="18"/>
                <w:szCs w:val="18"/>
              </w:rPr>
              <w:t xml:space="preserve">  status       TEXT NOT NULL DEFAULT 'active',</w:t>
            </w:r>
          </w:p>
          <w:p>
            <w:pPr>
              <w:spacing w:after="0" w:line="240"/>
            </w:pPr>
            <w:r>
              <w:rPr>
                <w:rFonts w:ascii="Consolas" w:cs="Consolas" w:eastAsia="Consolas" w:hAnsi="Consolas"/>
                <w:color w:val="E2E8F0"/>
                <w:sz w:val="18"/>
                <w:szCs w:val="18"/>
              </w:rPr>
              <w:t xml:space="preserve">                                -- active | deprioritized | dead_end | resolved</w:t>
            </w:r>
          </w:p>
          <w:p>
            <w:pPr>
              <w:spacing w:after="0" w:line="240"/>
            </w:pPr>
            <w:r>
              <w:rPr>
                <w:rFonts w:ascii="Consolas" w:cs="Consolas" w:eastAsia="Consolas" w:hAnsi="Consolas"/>
                <w:color w:val="E2E8F0"/>
                <w:sz w:val="18"/>
                <w:szCs w:val="18"/>
              </w:rPr>
              <w:t xml:space="preserve">  label        TEXT NOT NULL,   -- human-readable line of inquiry</w:t>
            </w:r>
          </w:p>
          <w:p>
            <w:pPr>
              <w:spacing w:after="0" w:line="240"/>
            </w:pPr>
            <w:r>
              <w:rPr>
                <w:rFonts w:ascii="Consolas" w:cs="Consolas" w:eastAsia="Consolas" w:hAnsi="Consolas"/>
                <w:color w:val="E2E8F0"/>
                <w:sz w:val="18"/>
                <w:szCs w:val="18"/>
              </w:rPr>
              <w:t xml:space="preserve">  priority     INTEGER DEFAULT 0,      -- higher = pursue sooner</w:t>
            </w:r>
          </w:p>
          <w:p>
            <w:pPr>
              <w:spacing w:after="0" w:line="240"/>
            </w:pPr>
            <w:r>
              <w:rPr>
                <w:rFonts w:ascii="Consolas" w:cs="Consolas" w:eastAsia="Consolas" w:hAnsi="Consolas"/>
                <w:color w:val="E2E8F0"/>
                <w:sz w:val="18"/>
                <w:szCs w:val="18"/>
              </w:rPr>
              <w:t xml:space="preserve">  created_at   TEXT DEFAULT (datetime('now')),</w:t>
            </w:r>
          </w:p>
          <w:p>
            <w:pPr>
              <w:spacing w:after="0" w:line="240"/>
            </w:pPr>
            <w:r>
              <w:rPr>
                <w:rFonts w:ascii="Consolas" w:cs="Consolas" w:eastAsia="Consolas" w:hAnsi="Consolas"/>
                <w:color w:val="E2E8F0"/>
                <w:sz w:val="18"/>
                <w:szCs w:val="18"/>
              </w:rPr>
              <w:t xml:space="preserve">  updated_at   TEXT DEFAULT (datetime('now'))</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CREATE INDEX idx_nodes_target_status ON nodes(target_id, status);</w:t>
            </w:r>
          </w:p>
          <w:p>
            <w:pPr>
              <w:spacing w:after="0" w:line="240"/>
            </w:pPr>
            <w:r>
              <w:rPr>
                <w:rFonts w:ascii="Consolas" w:cs="Consolas" w:eastAsia="Consolas" w:hAnsi="Consolas"/>
                <w:color w:val="E2E8F0"/>
                <w:sz w:val="18"/>
                <w:szCs w:val="18"/>
              </w:rPr>
              <w:t xml:space="preserve">CREATE INDEX idx_nodes_parent        ON nodes(parent_id);</w:t>
            </w:r>
          </w:p>
        </w:tc>
      </w:tr>
    </w:tbl>
    <w:p>
      <w:pPr>
        <w:spacing w:after="200" w:line="264"/>
      </w:pPr>
      <w:r>
        <w:rPr>
          <w:i/>
          <w:iCs/>
          <w:color w:val="6B7280"/>
          <w:sz w:val="20"/>
          <w:szCs w:val="20"/>
        </w:rPr>
        <w:t xml:space="preserve">The stall detector (Layer 4) reads idx_nodes_target_status to spot when no active nodes are growing; a KB hit on a fingerprint (Section 2.5) inserts a new high-priority child node under the relevant service node.</w:t>
      </w:r>
    </w:p>
    <w:p>
      <w:pPr>
        <w:pStyle w:val="Heading2"/>
        <w:spacing w:after="150" w:before="300"/>
      </w:pPr>
      <w:r>
        <w:t xml:space="preserve">4.3 The Evidence Layer</w:t>
      </w:r>
    </w:p>
    <w:p>
      <w:pPr>
        <w:spacing w:after="160" w:line="276"/>
      </w:pPr>
      <w:r>
        <w:rPr>
          <w:sz w:val="22"/>
          <w:szCs w:val="22"/>
        </w:rPr>
        <w:t xml:space="preserve">These tables store the durable facts. They are deliberately flat and normalized so a fact is written once and referenced from the tree by foreign key. Each row carries both a target_id (which engagement) and a node_id (which line of inquiry surfaced it).</w:t>
      </w:r>
    </w:p>
    <w:tbl>
      <w:tblPr>
        <w:tblW w:type="dxa" w:w="9360"/>
        <w:tblBorders>
          <w:top w:val="single" w:color="0F172A" w:sz="2"/>
          <w:left w:val="single" w:color="0F172A" w:sz="2"/>
          <w:bottom w:val="single" w:color="0F172A" w:sz="2"/>
          <w:right w:val="single" w:color="0F172A" w:sz="2"/>
          <w:insideH w:val="none"/>
          <w:insideV w:val="none"/>
        </w:tblBorders>
      </w:tblPr>
      <w:tblGrid>
        <w:gridCol w:w="9360"/>
      </w:tblGrid>
      <w:tr>
        <w:tc>
          <w:tcPr>
            <w:tcW w:type="dxa" w:w="9360"/>
            <w:shd w:fill="0F172A" w:val="clear"/>
            <w:tcMar>
              <w:top w:type="dxa" w:w="120"/>
              <w:left w:type="dxa" w:w="160"/>
              <w:bottom w:type="dxa" w:w="120"/>
              <w:right w:type="dxa" w:w="160"/>
            </w:tcMar>
          </w:tcPr>
          <w:p>
            <w:pPr>
              <w:spacing w:after="0" w:line="240"/>
            </w:pPr>
            <w:r>
              <w:rPr>
                <w:rFonts w:ascii="Consolas" w:cs="Consolas" w:eastAsia="Consolas" w:hAnsi="Consolas"/>
                <w:color w:val="E2E8F0"/>
                <w:sz w:val="18"/>
                <w:szCs w:val="18"/>
              </w:rPr>
              <w:t xml:space="preserve">CREATE TABLE findings (</w:t>
            </w:r>
          </w:p>
          <w:p>
            <w:pPr>
              <w:spacing w:after="0" w:line="240"/>
            </w:pPr>
            <w:r>
              <w:rPr>
                <w:rFonts w:ascii="Consolas" w:cs="Consolas" w:eastAsia="Consolas" w:hAnsi="Consolas"/>
                <w:color w:val="E2E8F0"/>
                <w:sz w:val="18"/>
                <w:szCs w:val="18"/>
              </w:rPr>
              <w:t xml:space="preserve">  id            INTEGER PRIMARY KEY,</w:t>
            </w:r>
          </w:p>
          <w:p>
            <w:pPr>
              <w:spacing w:after="0" w:line="240"/>
            </w:pPr>
            <w:r>
              <w:rPr>
                <w:rFonts w:ascii="Consolas" w:cs="Consolas" w:eastAsia="Consolas" w:hAnsi="Consolas"/>
                <w:color w:val="E2E8F0"/>
                <w:sz w:val="18"/>
                <w:szCs w:val="18"/>
              </w:rPr>
              <w:t xml:space="preserve">  target_id     INTEGER NOT NULL REFERENCES targets(id),</w:t>
            </w:r>
          </w:p>
          <w:p>
            <w:pPr>
              <w:spacing w:after="0" w:line="240"/>
            </w:pPr>
            <w:r>
              <w:rPr>
                <w:rFonts w:ascii="Consolas" w:cs="Consolas" w:eastAsia="Consolas" w:hAnsi="Consolas"/>
                <w:color w:val="E2E8F0"/>
                <w:sz w:val="18"/>
                <w:szCs w:val="18"/>
              </w:rPr>
              <w:t xml:space="preserve">  node_id       INTEGER REFERENCES nodes(id),</w:t>
            </w:r>
          </w:p>
          <w:p>
            <w:pPr>
              <w:spacing w:after="0" w:line="240"/>
            </w:pPr>
            <w:r>
              <w:rPr>
                <w:rFonts w:ascii="Consolas" w:cs="Consolas" w:eastAsia="Consolas" w:hAnsi="Consolas"/>
                <w:color w:val="E2E8F0"/>
                <w:sz w:val="18"/>
                <w:szCs w:val="18"/>
              </w:rPr>
              <w:t xml:space="preserve">  port          INTEGER,</w:t>
            </w:r>
          </w:p>
          <w:p>
            <w:pPr>
              <w:spacing w:after="0" w:line="240"/>
            </w:pPr>
            <w:r>
              <w:rPr>
                <w:rFonts w:ascii="Consolas" w:cs="Consolas" w:eastAsia="Consolas" w:hAnsi="Consolas"/>
                <w:color w:val="E2E8F0"/>
                <w:sz w:val="18"/>
                <w:szCs w:val="18"/>
              </w:rPr>
              <w:t xml:space="preserve">  protocol      TEXT,                  -- tcp | udp</w:t>
            </w:r>
          </w:p>
          <w:p>
            <w:pPr>
              <w:spacing w:after="0" w:line="240"/>
            </w:pPr>
            <w:r>
              <w:rPr>
                <w:rFonts w:ascii="Consolas" w:cs="Consolas" w:eastAsia="Consolas" w:hAnsi="Consolas"/>
                <w:color w:val="E2E8F0"/>
                <w:sz w:val="18"/>
                <w:szCs w:val="18"/>
              </w:rPr>
              <w:t xml:space="preserve">  service       TEXT,                  -- e.g. 'http', 'smb'</w:t>
            </w:r>
          </w:p>
          <w:p>
            <w:pPr>
              <w:spacing w:after="0" w:line="240"/>
            </w:pPr>
            <w:r>
              <w:rPr>
                <w:rFonts w:ascii="Consolas" w:cs="Consolas" w:eastAsia="Consolas" w:hAnsi="Consolas"/>
                <w:color w:val="E2E8F0"/>
                <w:sz w:val="18"/>
                <w:szCs w:val="18"/>
              </w:rPr>
              <w:t xml:space="preserve">  product       TEXT,                  -- e.g. 'Apache httpd'</w:t>
            </w:r>
          </w:p>
          <w:p>
            <w:pPr>
              <w:spacing w:after="0" w:line="240"/>
            </w:pPr>
            <w:r>
              <w:rPr>
                <w:rFonts w:ascii="Consolas" w:cs="Consolas" w:eastAsia="Consolas" w:hAnsi="Consolas"/>
                <w:color w:val="E2E8F0"/>
                <w:sz w:val="18"/>
                <w:szCs w:val="18"/>
              </w:rPr>
              <w:t xml:space="preserve">  version       TEXT,                  -- fingerprint string (see note)</w:t>
            </w:r>
          </w:p>
          <w:p>
            <w:pPr>
              <w:spacing w:after="0" w:line="240"/>
            </w:pPr>
            <w:r>
              <w:rPr>
                <w:rFonts w:ascii="Consolas" w:cs="Consolas" w:eastAsia="Consolas" w:hAnsi="Consolas"/>
                <w:color w:val="E2E8F0"/>
                <w:sz w:val="18"/>
                <w:szCs w:val="18"/>
              </w:rPr>
              <w:t xml:space="preserve">  honeypot_susp INTEGER DEFAULT 0,     -- 1 = looks like a decoy/honeypot</w:t>
            </w:r>
          </w:p>
          <w:p>
            <w:pPr>
              <w:spacing w:after="0" w:line="240"/>
            </w:pPr>
            <w:r>
              <w:rPr>
                <w:rFonts w:ascii="Consolas" w:cs="Consolas" w:eastAsia="Consolas" w:hAnsi="Consolas"/>
                <w:color w:val="E2E8F0"/>
                <w:sz w:val="18"/>
                <w:szCs w:val="18"/>
              </w:rPr>
              <w:t xml:space="preserve">  confidence    REAL,                  -- reasoning core's prior, 0..1</w:t>
            </w:r>
          </w:p>
          <w:p>
            <w:pPr>
              <w:spacing w:after="0" w:line="240"/>
            </w:pPr>
            <w:r>
              <w:rPr>
                <w:rFonts w:ascii="Consolas" w:cs="Consolas" w:eastAsia="Consolas" w:hAnsi="Consolas"/>
                <w:color w:val="E2E8F0"/>
                <w:sz w:val="18"/>
                <w:szCs w:val="18"/>
              </w:rPr>
              <w:t xml:space="preserve">  status        TEXT NOT NULL DEFAULT 'candidate',</w:t>
            </w:r>
          </w:p>
          <w:p>
            <w:pPr>
              <w:spacing w:after="0" w:line="240"/>
            </w:pPr>
            <w:r>
              <w:rPr>
                <w:rFonts w:ascii="Consolas" w:cs="Consolas" w:eastAsia="Consolas" w:hAnsi="Consolas"/>
                <w:color w:val="E2E8F0"/>
                <w:sz w:val="18"/>
                <w:szCs w:val="18"/>
              </w:rPr>
              <w:t xml:space="preserve">                                       -- candidate | validated |</w:t>
            </w:r>
          </w:p>
          <w:p>
            <w:pPr>
              <w:spacing w:after="0" w:line="240"/>
            </w:pPr>
            <w:r>
              <w:rPr>
                <w:rFonts w:ascii="Consolas" w:cs="Consolas" w:eastAsia="Consolas" w:hAnsi="Consolas"/>
                <w:color w:val="E2E8F0"/>
                <w:sz w:val="18"/>
                <w:szCs w:val="18"/>
              </w:rPr>
              <w:t xml:space="preserve">                                       -- submitted  | rejected</w:t>
            </w:r>
          </w:p>
          <w:p>
            <w:pPr>
              <w:spacing w:after="0" w:line="240"/>
            </w:pPr>
            <w:r>
              <w:rPr>
                <w:rFonts w:ascii="Consolas" w:cs="Consolas" w:eastAsia="Consolas" w:hAnsi="Consolas"/>
                <w:color w:val="E2E8F0"/>
                <w:sz w:val="18"/>
                <w:szCs w:val="18"/>
              </w:rPr>
              <w:t xml:space="preserve">  created_at    TEXT DEFAULT (datetime('now'))</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CREATE TABLE credentials (</w:t>
            </w:r>
          </w:p>
          <w:p>
            <w:pPr>
              <w:spacing w:after="0" w:line="240"/>
            </w:pPr>
            <w:r>
              <w:rPr>
                <w:rFonts w:ascii="Consolas" w:cs="Consolas" w:eastAsia="Consolas" w:hAnsi="Consolas"/>
                <w:color w:val="E2E8F0"/>
                <w:sz w:val="18"/>
                <w:szCs w:val="18"/>
              </w:rPr>
              <w:t xml:space="preserve">  id          INTEGER PRIMARY KEY,</w:t>
            </w:r>
          </w:p>
          <w:p>
            <w:pPr>
              <w:spacing w:after="0" w:line="240"/>
            </w:pPr>
            <w:r>
              <w:rPr>
                <w:rFonts w:ascii="Consolas" w:cs="Consolas" w:eastAsia="Consolas" w:hAnsi="Consolas"/>
                <w:color w:val="E2E8F0"/>
                <w:sz w:val="18"/>
                <w:szCs w:val="18"/>
              </w:rPr>
              <w:t xml:space="preserve">  target_id   INTEGER NOT NULL REFERENCES targets(id),</w:t>
            </w:r>
          </w:p>
          <w:p>
            <w:pPr>
              <w:spacing w:after="0" w:line="240"/>
            </w:pPr>
            <w:r>
              <w:rPr>
                <w:rFonts w:ascii="Consolas" w:cs="Consolas" w:eastAsia="Consolas" w:hAnsi="Consolas"/>
                <w:color w:val="E2E8F0"/>
                <w:sz w:val="18"/>
                <w:szCs w:val="18"/>
              </w:rPr>
              <w:t xml:space="preserve">  node_id     INTEGER REFERENCES nodes(id),</w:t>
            </w:r>
          </w:p>
          <w:p>
            <w:pPr>
              <w:spacing w:after="0" w:line="240"/>
            </w:pPr>
            <w:r>
              <w:rPr>
                <w:rFonts w:ascii="Consolas" w:cs="Consolas" w:eastAsia="Consolas" w:hAnsi="Consolas"/>
                <w:color w:val="E2E8F0"/>
                <w:sz w:val="18"/>
                <w:szCs w:val="18"/>
              </w:rPr>
              <w:t xml:space="preserve">  username    TEXT,</w:t>
            </w:r>
          </w:p>
          <w:p>
            <w:pPr>
              <w:spacing w:after="0" w:line="240"/>
            </w:pPr>
            <w:r>
              <w:rPr>
                <w:rFonts w:ascii="Consolas" w:cs="Consolas" w:eastAsia="Consolas" w:hAnsi="Consolas"/>
                <w:color w:val="E2E8F0"/>
                <w:sz w:val="18"/>
                <w:szCs w:val="18"/>
              </w:rPr>
              <w:t xml:space="preserve">  secret      TEXT,</w:t>
            </w:r>
          </w:p>
          <w:p>
            <w:pPr>
              <w:spacing w:after="0" w:line="240"/>
            </w:pPr>
            <w:r>
              <w:rPr>
                <w:rFonts w:ascii="Consolas" w:cs="Consolas" w:eastAsia="Consolas" w:hAnsi="Consolas"/>
                <w:color w:val="E2E8F0"/>
                <w:sz w:val="18"/>
                <w:szCs w:val="18"/>
              </w:rPr>
              <w:t xml:space="preserve">  secret_type TEXT,     -- password | hash | key | token</w:t>
            </w:r>
          </w:p>
          <w:p>
            <w:pPr>
              <w:spacing w:after="0" w:line="240"/>
            </w:pPr>
            <w:r>
              <w:rPr>
                <w:rFonts w:ascii="Consolas" w:cs="Consolas" w:eastAsia="Consolas" w:hAnsi="Consolas"/>
                <w:color w:val="E2E8F0"/>
                <w:sz w:val="18"/>
                <w:szCs w:val="18"/>
              </w:rPr>
              <w:t xml:space="preserve">  source      TEXT,     -- where/how obtained</w:t>
            </w:r>
          </w:p>
          <w:p>
            <w:pPr>
              <w:spacing w:after="0" w:line="240"/>
            </w:pPr>
            <w:r>
              <w:rPr>
                <w:rFonts w:ascii="Consolas" w:cs="Consolas" w:eastAsia="Consolas" w:hAnsi="Consolas"/>
                <w:color w:val="E2E8F0"/>
                <w:sz w:val="18"/>
                <w:szCs w:val="18"/>
              </w:rPr>
              <w:t xml:space="preserve">  scope       TEXT,     -- what it grants access to</w:t>
            </w:r>
          </w:p>
          <w:p>
            <w:pPr>
              <w:spacing w:after="0" w:line="240"/>
            </w:pPr>
            <w:r>
              <w:rPr>
                <w:rFonts w:ascii="Consolas" w:cs="Consolas" w:eastAsia="Consolas" w:hAnsi="Consolas"/>
                <w:color w:val="E2E8F0"/>
                <w:sz w:val="18"/>
                <w:szCs w:val="18"/>
              </w:rPr>
              <w:t xml:space="preserve">  validated   INTEGER DEFAULT 0,</w:t>
            </w:r>
          </w:p>
          <w:p>
            <w:pPr>
              <w:spacing w:after="0" w:line="240"/>
            </w:pPr>
            <w:r>
              <w:rPr>
                <w:rFonts w:ascii="Consolas" w:cs="Consolas" w:eastAsia="Consolas" w:hAnsi="Consolas"/>
                <w:color w:val="E2E8F0"/>
                <w:sz w:val="18"/>
                <w:szCs w:val="18"/>
              </w:rPr>
              <w:t xml:space="preserve">  created_at  TEXT DEFAULT (datetime('now'))</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CREATE TABLE attempts (</w:t>
            </w:r>
          </w:p>
          <w:p>
            <w:pPr>
              <w:spacing w:after="0" w:line="240"/>
            </w:pPr>
            <w:r>
              <w:rPr>
                <w:rFonts w:ascii="Consolas" w:cs="Consolas" w:eastAsia="Consolas" w:hAnsi="Consolas"/>
                <w:color w:val="E2E8F0"/>
                <w:sz w:val="18"/>
                <w:szCs w:val="18"/>
              </w:rPr>
              <w:t xml:space="preserve">  id             INTEGER PRIMARY KEY,</w:t>
            </w:r>
          </w:p>
          <w:p>
            <w:pPr>
              <w:spacing w:after="0" w:line="240"/>
            </w:pPr>
            <w:r>
              <w:rPr>
                <w:rFonts w:ascii="Consolas" w:cs="Consolas" w:eastAsia="Consolas" w:hAnsi="Consolas"/>
                <w:color w:val="E2E8F0"/>
                <w:sz w:val="18"/>
                <w:szCs w:val="18"/>
              </w:rPr>
              <w:t xml:space="preserve">  target_id      INTEGER NOT NULL REFERENCES targets(id),</w:t>
            </w:r>
          </w:p>
          <w:p>
            <w:pPr>
              <w:spacing w:after="0" w:line="240"/>
            </w:pPr>
            <w:r>
              <w:rPr>
                <w:rFonts w:ascii="Consolas" w:cs="Consolas" w:eastAsia="Consolas" w:hAnsi="Consolas"/>
                <w:color w:val="E2E8F0"/>
                <w:sz w:val="18"/>
                <w:szCs w:val="18"/>
              </w:rPr>
              <w:t xml:space="preserve">  node_id        INTEGER REFERENCES nodes(id),</w:t>
            </w:r>
          </w:p>
          <w:p>
            <w:pPr>
              <w:spacing w:after="0" w:line="240"/>
            </w:pPr>
            <w:r>
              <w:rPr>
                <w:rFonts w:ascii="Consolas" w:cs="Consolas" w:eastAsia="Consolas" w:hAnsi="Consolas"/>
                <w:color w:val="E2E8F0"/>
                <w:sz w:val="18"/>
                <w:szCs w:val="18"/>
              </w:rPr>
              <w:t xml:space="preserve">  tool           TEXT NOT NULL,   -- nmap | sqlmap | ffuf | msf | ...</w:t>
            </w:r>
          </w:p>
          <w:p>
            <w:pPr>
              <w:spacing w:after="0" w:line="240"/>
            </w:pPr>
            <w:r>
              <w:rPr>
                <w:rFonts w:ascii="Consolas" w:cs="Consolas" w:eastAsia="Consolas" w:hAnsi="Consolas"/>
                <w:color w:val="E2E8F0"/>
                <w:sz w:val="18"/>
                <w:szCs w:val="18"/>
              </w:rPr>
              <w:t xml:space="preserve">  command        TEXT NOT NULL,   -- exact invocation, for the audit log</w:t>
            </w:r>
          </w:p>
          <w:p>
            <w:pPr>
              <w:spacing w:after="0" w:line="240"/>
            </w:pPr>
            <w:r>
              <w:rPr>
                <w:rFonts w:ascii="Consolas" w:cs="Consolas" w:eastAsia="Consolas" w:hAnsi="Consolas"/>
                <w:color w:val="E2E8F0"/>
                <w:sz w:val="18"/>
                <w:szCs w:val="18"/>
              </w:rPr>
              <w:t xml:space="preserve">  started_at     TEXT DEFAULT (datetime('now')),</w:t>
            </w:r>
          </w:p>
          <w:p>
            <w:pPr>
              <w:spacing w:after="0" w:line="240"/>
            </w:pPr>
            <w:r>
              <w:rPr>
                <w:rFonts w:ascii="Consolas" w:cs="Consolas" w:eastAsia="Consolas" w:hAnsi="Consolas"/>
                <w:color w:val="E2E8F0"/>
                <w:sz w:val="18"/>
                <w:szCs w:val="18"/>
              </w:rPr>
              <w:t xml:space="preserve">  finished_at    TEXT,</w:t>
            </w:r>
          </w:p>
          <w:p>
            <w:pPr>
              <w:spacing w:after="0" w:line="240"/>
            </w:pPr>
            <w:r>
              <w:rPr>
                <w:rFonts w:ascii="Consolas" w:cs="Consolas" w:eastAsia="Consolas" w:hAnsi="Consolas"/>
                <w:color w:val="E2E8F0"/>
                <w:sz w:val="18"/>
                <w:szCs w:val="18"/>
              </w:rPr>
              <w:t xml:space="preserve">  outcome        TEXT,            -- success | failure | inconclusive</w:t>
            </w:r>
          </w:p>
          <w:p>
            <w:pPr>
              <w:spacing w:after="0" w:line="240"/>
            </w:pPr>
            <w:r>
              <w:rPr>
                <w:rFonts w:ascii="Consolas" w:cs="Consolas" w:eastAsia="Consolas" w:hAnsi="Consolas"/>
                <w:color w:val="E2E8F0"/>
                <w:sz w:val="18"/>
                <w:szCs w:val="18"/>
              </w:rPr>
              <w:t xml:space="preserve">  output_ref     TEXT,            -- path/blob id to full captured output</w:t>
            </w:r>
          </w:p>
          <w:p>
            <w:pPr>
              <w:spacing w:after="0" w:line="240"/>
            </w:pPr>
            <w:r>
              <w:rPr>
                <w:rFonts w:ascii="Consolas" w:cs="Consolas" w:eastAsia="Consolas" w:hAnsi="Consolas"/>
                <w:color w:val="E2E8F0"/>
                <w:sz w:val="18"/>
                <w:szCs w:val="18"/>
              </w:rPr>
              <w:t xml:space="preserve">  reasoning_note TEXT             -- why this was tried / what it showed</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CREATE INDEX idx_findings_target_status ON findings(target_id, status);</w:t>
            </w:r>
          </w:p>
          <w:p>
            <w:pPr>
              <w:spacing w:after="0" w:line="240"/>
            </w:pPr>
            <w:r>
              <w:rPr>
                <w:rFonts w:ascii="Consolas" w:cs="Consolas" w:eastAsia="Consolas" w:hAnsi="Consolas"/>
                <w:color w:val="E2E8F0"/>
                <w:sz w:val="18"/>
                <w:szCs w:val="18"/>
              </w:rPr>
              <w:t xml:space="preserve">CREATE INDEX idx_findings_fingerprint   ON findings(product, version);</w:t>
            </w:r>
          </w:p>
          <w:p>
            <w:pPr>
              <w:spacing w:after="0" w:line="240"/>
            </w:pPr>
            <w:r>
              <w:rPr>
                <w:rFonts w:ascii="Consolas" w:cs="Consolas" w:eastAsia="Consolas" w:hAnsi="Consolas"/>
                <w:color w:val="E2E8F0"/>
                <w:sz w:val="18"/>
                <w:szCs w:val="18"/>
              </w:rPr>
              <w:t xml:space="preserve">CREATE INDEX idx_attempts_node          ON attempts(node_id);</w:t>
            </w:r>
          </w:p>
          <w:p>
            <w:pPr>
              <w:spacing w:after="0" w:line="240"/>
            </w:pPr>
            <w:r>
              <w:rPr>
                <w:rFonts w:ascii="Consolas" w:cs="Consolas" w:eastAsia="Consolas" w:hAnsi="Consolas"/>
                <w:color w:val="E2E8F0"/>
                <w:sz w:val="18"/>
                <w:szCs w:val="18"/>
              </w:rPr>
              <w:t xml:space="preserve">CREATE INDEX idx_attempts_tool          ON attempts(tool);</w:t>
            </w:r>
          </w:p>
        </w:tc>
      </w:tr>
    </w:tbl>
    <w:p>
      <w:pPr>
        <w:spacing w:after="200" w:line="264"/>
      </w:pPr>
      <w:r>
        <w:rPr>
          <w:i/>
          <w:iCs/>
          <w:color w:val="6B7280"/>
          <w:sz w:val="20"/>
          <w:szCs w:val="20"/>
        </w:rPr>
        <w:t xml:space="preserve">idx_findings_fingerprint is what the automatic KB query (Section 2.5) joins against; idx_attempts_tool and the full command column give the audit trail and the dataset for the self-learned KB tier. Note from VAPT research: a version string alone is unreliable evidence because of backporting — hence findings carry a status that only a validator, not a version match, can advance to 'validated'.</w:t>
      </w:r>
    </w:p>
    <w:p>
      <w:pPr>
        <w:pStyle w:val="Heading2"/>
        <w:spacing w:after="150" w:before="300"/>
      </w:pPr>
      <w:r>
        <w:t xml:space="preserve">4.4 The Gate Layer — Realizing the Two Gates in Data</w:t>
      </w:r>
    </w:p>
    <w:p>
      <w:pPr>
        <w:spacing w:after="160" w:line="276"/>
      </w:pPr>
      <w:r>
        <w:rPr>
          <w:sz w:val="22"/>
          <w:szCs w:val="22"/>
        </w:rPr>
        <w:t xml:space="preserve">The two gates are not separate machinery bolted on; they are the lifecycle of the status column on findings. A finding is born candidate. It becomes validated only when Gate 1's deterministic validator reproduces it — recorded in a validations row. It becomes submitted only after Gate 2's human approval — recorded in a submissions row. Anything the validator disproves becomes rejected. Both the tree and the gate logic check this one field.</w:t>
      </w:r>
    </w:p>
    <w:tbl>
      <w:tblPr>
        <w:tblW w:type="dxa" w:w="9360"/>
        <w:tblBorders>
          <w:top w:val="single" w:color="0F172A" w:sz="2"/>
          <w:left w:val="single" w:color="0F172A" w:sz="2"/>
          <w:bottom w:val="single" w:color="0F172A" w:sz="2"/>
          <w:right w:val="single" w:color="0F172A" w:sz="2"/>
          <w:insideH w:val="none"/>
          <w:insideV w:val="none"/>
        </w:tblBorders>
      </w:tblPr>
      <w:tblGrid>
        <w:gridCol w:w="9360"/>
      </w:tblGrid>
      <w:tr>
        <w:tc>
          <w:tcPr>
            <w:tcW w:type="dxa" w:w="9360"/>
            <w:shd w:fill="0F172A" w:val="clear"/>
            <w:tcMar>
              <w:top w:type="dxa" w:w="120"/>
              <w:left w:type="dxa" w:w="160"/>
              <w:bottom w:type="dxa" w:w="120"/>
              <w:right w:type="dxa" w:w="160"/>
            </w:tcMar>
          </w:tcPr>
          <w:p>
            <w:pPr>
              <w:spacing w:after="0" w:line="240"/>
            </w:pPr>
            <w:r>
              <w:rPr>
                <w:rFonts w:ascii="Consolas" w:cs="Consolas" w:eastAsia="Consolas" w:hAnsi="Consolas"/>
                <w:color w:val="E2E8F0"/>
                <w:sz w:val="18"/>
                <w:szCs w:val="18"/>
              </w:rPr>
              <w:t xml:space="preserve">CREATE TABLE validations (         -- Gate 1: deterministic PoC record</w:t>
            </w:r>
          </w:p>
          <w:p>
            <w:pPr>
              <w:spacing w:after="0" w:line="240"/>
            </w:pPr>
            <w:r>
              <w:rPr>
                <w:rFonts w:ascii="Consolas" w:cs="Consolas" w:eastAsia="Consolas" w:hAnsi="Consolas"/>
                <w:color w:val="E2E8F0"/>
                <w:sz w:val="18"/>
                <w:szCs w:val="18"/>
              </w:rPr>
              <w:t xml:space="preserve">  id            INTEGER PRIMARY KEY,</w:t>
            </w:r>
          </w:p>
          <w:p>
            <w:pPr>
              <w:spacing w:after="0" w:line="240"/>
            </w:pPr>
            <w:r>
              <w:rPr>
                <w:rFonts w:ascii="Consolas" w:cs="Consolas" w:eastAsia="Consolas" w:hAnsi="Consolas"/>
                <w:color w:val="E2E8F0"/>
                <w:sz w:val="18"/>
                <w:szCs w:val="18"/>
              </w:rPr>
              <w:t xml:space="preserve">  finding_id    INTEGER NOT NULL REFERENCES findings(id),</w:t>
            </w:r>
          </w:p>
          <w:p>
            <w:pPr>
              <w:spacing w:after="0" w:line="240"/>
            </w:pPr>
            <w:r>
              <w:rPr>
                <w:rFonts w:ascii="Consolas" w:cs="Consolas" w:eastAsia="Consolas" w:hAnsi="Consolas"/>
                <w:color w:val="E2E8F0"/>
                <w:sz w:val="18"/>
                <w:szCs w:val="18"/>
              </w:rPr>
              <w:t xml:space="preserve">  validator     TEXT NOT NULL,     -- which deterministic check ran</w:t>
            </w:r>
          </w:p>
          <w:p>
            <w:pPr>
              <w:spacing w:after="0" w:line="240"/>
            </w:pPr>
            <w:r>
              <w:rPr>
                <w:rFonts w:ascii="Consolas" w:cs="Consolas" w:eastAsia="Consolas" w:hAnsi="Consolas"/>
                <w:color w:val="E2E8F0"/>
                <w:sz w:val="18"/>
                <w:szCs w:val="18"/>
              </w:rPr>
              <w:t xml:space="preserve">  baseline_ref  TEXT,              -- captured baseline response</w:t>
            </w:r>
          </w:p>
          <w:p>
            <w:pPr>
              <w:spacing w:after="0" w:line="240"/>
            </w:pPr>
            <w:r>
              <w:rPr>
                <w:rFonts w:ascii="Consolas" w:cs="Consolas" w:eastAsia="Consolas" w:hAnsi="Consolas"/>
                <w:color w:val="E2E8F0"/>
                <w:sz w:val="18"/>
                <w:szCs w:val="18"/>
              </w:rPr>
              <w:t xml:space="preserve">  attack_ref    TEXT,              -- captured attack response</w:t>
            </w:r>
          </w:p>
          <w:p>
            <w:pPr>
              <w:spacing w:after="0" w:line="240"/>
            </w:pPr>
            <w:r>
              <w:rPr>
                <w:rFonts w:ascii="Consolas" w:cs="Consolas" w:eastAsia="Consolas" w:hAnsi="Consolas"/>
                <w:color w:val="E2E8F0"/>
                <w:sz w:val="18"/>
                <w:szCs w:val="18"/>
              </w:rPr>
              <w:t xml:space="preserve">  diff_summary  TEXT,              -- the measurable difference observed</w:t>
            </w:r>
          </w:p>
          <w:p>
            <w:pPr>
              <w:spacing w:after="0" w:line="240"/>
            </w:pPr>
            <w:r>
              <w:rPr>
                <w:rFonts w:ascii="Consolas" w:cs="Consolas" w:eastAsia="Consolas" w:hAnsi="Consolas"/>
                <w:color w:val="E2E8F0"/>
                <w:sz w:val="18"/>
                <w:szCs w:val="18"/>
              </w:rPr>
              <w:t xml:space="preserve">  passed        INTEGER NOT NULL,  -- 1 = reproduced, promote to validated</w:t>
            </w:r>
          </w:p>
          <w:p>
            <w:pPr>
              <w:spacing w:after="0" w:line="240"/>
            </w:pPr>
            <w:r>
              <w:rPr>
                <w:rFonts w:ascii="Consolas" w:cs="Consolas" w:eastAsia="Consolas" w:hAnsi="Consolas"/>
                <w:color w:val="E2E8F0"/>
                <w:sz w:val="18"/>
                <w:szCs w:val="18"/>
              </w:rPr>
              <w:t xml:space="preserve">  validated_at  TEXT DEFAULT (datetime('now'))</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CREATE TABLE submissions (         -- Gate 2: human-approved submission</w:t>
            </w:r>
          </w:p>
          <w:p>
            <w:pPr>
              <w:spacing w:after="0" w:line="240"/>
            </w:pPr>
            <w:r>
              <w:rPr>
                <w:rFonts w:ascii="Consolas" w:cs="Consolas" w:eastAsia="Consolas" w:hAnsi="Consolas"/>
                <w:color w:val="E2E8F0"/>
                <w:sz w:val="18"/>
                <w:szCs w:val="18"/>
              </w:rPr>
              <w:t xml:space="preserve">  id             INTEGER PRIMARY KEY,</w:t>
            </w:r>
          </w:p>
          <w:p>
            <w:pPr>
              <w:spacing w:after="0" w:line="240"/>
            </w:pPr>
            <w:r>
              <w:rPr>
                <w:rFonts w:ascii="Consolas" w:cs="Consolas" w:eastAsia="Consolas" w:hAnsi="Consolas"/>
                <w:color w:val="E2E8F0"/>
                <w:sz w:val="18"/>
                <w:szCs w:val="18"/>
              </w:rPr>
              <w:t xml:space="preserve">  finding_id     INTEGER NOT NULL REFERENCES findings(id),</w:t>
            </w:r>
          </w:p>
          <w:p>
            <w:pPr>
              <w:spacing w:after="0" w:line="240"/>
            </w:pPr>
            <w:r>
              <w:rPr>
                <w:rFonts w:ascii="Consolas" w:cs="Consolas" w:eastAsia="Consolas" w:hAnsi="Consolas"/>
                <w:color w:val="E2E8F0"/>
                <w:sz w:val="18"/>
                <w:szCs w:val="18"/>
              </w:rPr>
              <w:t xml:space="preserve">  program        TEXT,             -- platform / program handle</w:t>
            </w:r>
          </w:p>
          <w:p>
            <w:pPr>
              <w:spacing w:after="0" w:line="240"/>
            </w:pPr>
            <w:r>
              <w:rPr>
                <w:rFonts w:ascii="Consolas" w:cs="Consolas" w:eastAsia="Consolas" w:hAnsi="Consolas"/>
                <w:color w:val="E2E8F0"/>
                <w:sz w:val="18"/>
                <w:szCs w:val="18"/>
              </w:rPr>
              <w:t xml:space="preserve">  approved_by    TEXT NOT NULL,    -- human approver (compliance record)</w:t>
            </w:r>
          </w:p>
          <w:p>
            <w:pPr>
              <w:spacing w:after="0" w:line="240"/>
            </w:pPr>
            <w:r>
              <w:rPr>
                <w:rFonts w:ascii="Consolas" w:cs="Consolas" w:eastAsia="Consolas" w:hAnsi="Consolas"/>
                <w:color w:val="E2E8F0"/>
                <w:sz w:val="18"/>
                <w:szCs w:val="18"/>
              </w:rPr>
              <w:t xml:space="preserve">  approved_at    TEXT NOT NULL,</w:t>
            </w:r>
          </w:p>
          <w:p>
            <w:pPr>
              <w:spacing w:after="0" w:line="240"/>
            </w:pPr>
            <w:r>
              <w:rPr>
                <w:rFonts w:ascii="Consolas" w:cs="Consolas" w:eastAsia="Consolas" w:hAnsi="Consolas"/>
                <w:color w:val="E2E8F0"/>
                <w:sz w:val="18"/>
                <w:szCs w:val="18"/>
              </w:rPr>
              <w:t xml:space="preserve">  submitted_at   TEXT,</w:t>
            </w:r>
          </w:p>
          <w:p>
            <w:pPr>
              <w:spacing w:after="0" w:line="240"/>
            </w:pPr>
            <w:r>
              <w:rPr>
                <w:rFonts w:ascii="Consolas" w:cs="Consolas" w:eastAsia="Consolas" w:hAnsi="Consolas"/>
                <w:color w:val="E2E8F0"/>
                <w:sz w:val="18"/>
                <w:szCs w:val="18"/>
              </w:rPr>
              <w:t xml:space="preserve">  platform_ref   TEXT              -- report id returned by the platform</w:t>
            </w:r>
          </w:p>
          <w:p>
            <w:pPr>
              <w:spacing w:after="0" w:line="240"/>
            </w:pPr>
            <w:r>
              <w:rPr>
                <w:rFonts w:ascii="Consolas" w:cs="Consolas" w:eastAsia="Consolas" w:hAnsi="Consolas"/>
                <w:color w:val="E2E8F0"/>
                <w:sz w:val="18"/>
                <w:szCs w:val="18"/>
              </w:rPr>
              <w:t xml:space="preserve">);</w:t>
            </w:r>
          </w:p>
        </w:tc>
      </w:tr>
    </w:tbl>
    <w:p>
      <w:pPr>
        <w:spacing w:after="160" w:line="276"/>
      </w:pPr>
      <w:r>
        <w:rPr>
          <w:sz w:val="22"/>
          <w:szCs w:val="22"/>
        </w:rPr>
        <w:t xml:space="preserve">This makes the compliance story auditable by construction: every submitted finding has a submissions row naming a human approver and timestamp, and every validated finding has a validations row showing the reproducible difference that justified it. The status lifecycle is the schema-level expression of the two-gate model.</w:t>
      </w:r>
    </w:p>
    <w:p>
      <w:pPr>
        <w:pStyle w:val="Heading2"/>
        <w:spacing w:after="150" w:before="300"/>
      </w:pPr>
      <w:r>
        <w:t xml:space="preserve">4.5 The Validator Library — Per-Vulnerability-Class Gate 1 Logic</w:t>
      </w:r>
    </w:p>
    <w:p>
      <w:pPr>
        <w:spacing w:after="160" w:line="276"/>
      </w:pPr>
      <w:r>
        <w:rPr>
          <w:sz w:val="22"/>
          <w:szCs w:val="22"/>
        </w:rPr>
        <w:t xml:space="preserve">Section 3.1 established that Gate 1 requires a deterministic, non-LLM validator before a candidate is promoted to validated. Research into how real agentic pentesting platforms implement this reveals that there is no single generic validator — the technique must fit the bug. This section replaces the earlier placeholder ('a deterministic check reproduces it') with a concrete design: a small library of per-class validator strategies, each returning the two things every validation record in the validations table (Section 4.4) needs to carry.</w:t>
      </w:r>
    </w:p>
    <w:tbl>
      <w:tblPr>
        <w:tblW w:type="dxa" w:w="9360"/>
        <w:tblBorders>
          <w:top w:val="single" w:color="D97706" w:sz="4"/>
          <w:left w:val="single" w:color="D97706" w:sz="18"/>
          <w:bottom w:val="single" w:color="D97706" w:sz="4"/>
          <w:right w:val="single" w:color="D97706" w:sz="4"/>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b/>
                <w:bCs/>
                <w:color w:val="92400E"/>
                <w:sz w:val="22"/>
                <w:szCs w:val="22"/>
              </w:rPr>
              <w:t xml:space="preserve">The organizing principle</w:t>
            </w:r>
          </w:p>
          <w:p>
            <w:r>
              <w:rPr>
                <w:color w:val="1F2937"/>
                <w:sz w:val="21"/>
                <w:szCs w:val="21"/>
              </w:rPr>
              <w:t xml:space="preserve">Every validator answers two separate questions, not one: what technical signal confirms the vulnerability exists, and what separate artifact confirms it has impact. A generic 'we got a response' standard proves nothing — the validations.diff_summary field should always be traceable to one of these two categories of evidence, for whichever vulnerability class is in play.</w:t>
            </w:r>
          </w:p>
        </w:tc>
      </w:tr>
    </w:tbl>
    <w:p>
      <w:pPr>
        <w:spacing w:before="160"/>
      </w:pPr>
    </w:p>
    <w:p>
      <w:pPr>
        <w:spacing w:after="160" w:line="276"/>
      </w:pPr>
      <w:r>
        <w:rPr>
          <w:sz w:val="22"/>
          <w:szCs w:val="22"/>
        </w:rPr>
        <w:t xml:space="preserve">A related restraint principle applies to the highest-impact classes: proof never requires escalating to full system control. For remote command execution and server-side template injection specifically, the validator should demonstrate the minimum that shows the consequence is reachable, then stop — prove the door opens, not walk through it. This bounds how aggressive Gate 1 itself is allowed to be, independent of any red-lines restriction.</w:t>
      </w:r>
    </w:p>
    <w:p>
      <w:pPr>
        <w:pStyle w:val="Heading3"/>
        <w:spacing w:after="100" w:before="200"/>
      </w:pPr>
      <w:r>
        <w:t xml:space="preserve">Validator strategies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shd w:fill="1F2937" w:val="clear"/>
            <w:tcMar>
              <w:top w:type="dxa" w:w="80"/>
              <w:left w:type="dxa" w:w="100"/>
              <w:bottom w:type="dxa" w:w="80"/>
              <w:right w:type="dxa" w:w="100"/>
            </w:tcMar>
          </w:tcPr>
          <w:p>
            <w:r>
              <w:rPr>
                <w:b/>
                <w:bCs/>
                <w:color w:val="FFFFFF"/>
                <w:sz w:val="20"/>
                <w:szCs w:val="20"/>
              </w:rPr>
              <w:t xml:space="preserve">Class</w:t>
            </w:r>
          </w:p>
        </w:tc>
        <w:tc>
          <w:tcPr>
            <w:tcW w:type="dxa" w:w="4000"/>
            <w:shd w:fill="1F2937" w:val="clear"/>
            <w:tcMar>
              <w:top w:type="dxa" w:w="80"/>
              <w:left w:type="dxa" w:w="100"/>
              <w:bottom w:type="dxa" w:w="80"/>
              <w:right w:type="dxa" w:w="100"/>
            </w:tcMar>
          </w:tcPr>
          <w:p>
            <w:r>
              <w:rPr>
                <w:b/>
                <w:bCs/>
                <w:color w:val="FFFFFF"/>
                <w:sz w:val="20"/>
                <w:szCs w:val="20"/>
              </w:rPr>
              <w:t xml:space="preserve">Technical signal (exists)</w:t>
            </w:r>
          </w:p>
        </w:tc>
        <w:tc>
          <w:tcPr>
            <w:tcW w:type="dxa" w:w="3460"/>
            <w:shd w:fill="1F2937" w:val="clear"/>
            <w:tcMar>
              <w:top w:type="dxa" w:w="80"/>
              <w:left w:type="dxa" w:w="100"/>
              <w:bottom w:type="dxa" w:w="80"/>
              <w:right w:type="dxa" w:w="100"/>
            </w:tcMar>
          </w:tcPr>
          <w:p>
            <w:r>
              <w:rPr>
                <w:b/>
                <w:bCs/>
                <w:color w:val="FFFFFF"/>
                <w:sz w:val="20"/>
                <w:szCs w:val="20"/>
              </w:rPr>
              <w:t xml:space="preserve">Impact artifact (matters)</w:t>
            </w:r>
          </w:p>
        </w:tc>
      </w:tr>
      <w:tr>
        <w:tc>
          <w:tcPr>
            <w:tcW w:type="dxa" w:w="1900"/>
            <w:tcMar>
              <w:top w:type="dxa" w:w="80"/>
              <w:left w:type="dxa" w:w="100"/>
              <w:bottom w:type="dxa" w:w="80"/>
              <w:right w:type="dxa" w:w="100"/>
            </w:tcMar>
          </w:tcPr>
          <w:p>
            <w:r>
              <w:rPr>
                <w:b w:val="false"/>
                <w:bCs w:val="false"/>
                <w:sz w:val="20"/>
                <w:szCs w:val="20"/>
              </w:rPr>
              <w:t xml:space="preserve">SQL injection</w:t>
            </w:r>
          </w:p>
        </w:tc>
        <w:tc>
          <w:tcPr>
            <w:tcW w:type="dxa" w:w="4000"/>
            <w:tcMar>
              <w:top w:type="dxa" w:w="80"/>
              <w:left w:type="dxa" w:w="100"/>
              <w:bottom w:type="dxa" w:w="80"/>
              <w:right w:type="dxa" w:w="100"/>
            </w:tcMar>
          </w:tcPr>
          <w:p>
            <w:r>
              <w:rPr>
                <w:b w:val="false"/>
                <w:bCs w:val="false"/>
                <w:sz w:val="20"/>
                <w:szCs w:val="20"/>
              </w:rPr>
              <w:t xml:space="preserve">Database error string, or a timing/response delta on a blind payload</w:t>
            </w:r>
          </w:p>
        </w:tc>
        <w:tc>
          <w:tcPr>
            <w:tcW w:type="dxa" w:w="3460"/>
            <w:tcMar>
              <w:top w:type="dxa" w:w="80"/>
              <w:left w:type="dxa" w:w="100"/>
              <w:bottom w:type="dxa" w:w="80"/>
              <w:right w:type="dxa" w:w="100"/>
            </w:tcMar>
          </w:tcPr>
          <w:p>
            <w:r>
              <w:rPr>
                <w:b w:val="false"/>
                <w:bCs w:val="false"/>
                <w:sz w:val="20"/>
                <w:szCs w:val="20"/>
              </w:rPr>
              <w:t xml:space="preserve">Extracted metadata or record data via the injection</w:t>
            </w:r>
          </w:p>
        </w:tc>
      </w:tr>
      <w:tr>
        <w:tc>
          <w:tcPr>
            <w:tcW w:type="dxa" w:w="1900"/>
            <w:shd w:fill="F3F4F6" w:val="clear"/>
            <w:tcMar>
              <w:top w:type="dxa" w:w="80"/>
              <w:left w:type="dxa" w:w="100"/>
              <w:bottom w:type="dxa" w:w="80"/>
              <w:right w:type="dxa" w:w="100"/>
            </w:tcMar>
          </w:tcPr>
          <w:p>
            <w:r>
              <w:rPr>
                <w:b w:val="false"/>
                <w:bCs w:val="false"/>
                <w:sz w:val="20"/>
                <w:szCs w:val="20"/>
              </w:rPr>
              <w:t xml:space="preserve">Cross-site scripting</w:t>
            </w:r>
          </w:p>
        </w:tc>
        <w:tc>
          <w:tcPr>
            <w:tcW w:type="dxa" w:w="4000"/>
            <w:shd w:fill="F3F4F6" w:val="clear"/>
            <w:tcMar>
              <w:top w:type="dxa" w:w="80"/>
              <w:left w:type="dxa" w:w="100"/>
              <w:bottom w:type="dxa" w:w="80"/>
              <w:right w:type="dxa" w:w="100"/>
            </w:tcMar>
          </w:tcPr>
          <w:p>
            <w:r>
              <w:rPr>
                <w:b w:val="false"/>
                <w:bCs w:val="false"/>
                <w:sz w:val="20"/>
                <w:szCs w:val="20"/>
              </w:rPr>
              <w:t xml:space="preserve">Headless-browser execution of the injected payload (e.g. a callback firing)</w:t>
            </w:r>
          </w:p>
        </w:tc>
        <w:tc>
          <w:tcPr>
            <w:tcW w:type="dxa" w:w="3460"/>
            <w:shd w:fill="F3F4F6" w:val="clear"/>
            <w:tcMar>
              <w:top w:type="dxa" w:w="80"/>
              <w:left w:type="dxa" w:w="100"/>
              <w:bottom w:type="dxa" w:w="80"/>
              <w:right w:type="dxa" w:w="100"/>
            </w:tcMar>
          </w:tcPr>
          <w:p>
            <w:r>
              <w:rPr>
                <w:b w:val="false"/>
                <w:bCs w:val="false"/>
                <w:sz w:val="20"/>
                <w:szCs w:val="20"/>
              </w:rPr>
              <w:t xml:space="preserve">Payload executes in a session context that isn't the attacker's own</w:t>
            </w:r>
          </w:p>
        </w:tc>
      </w:tr>
      <w:tr>
        <w:tc>
          <w:tcPr>
            <w:tcW w:type="dxa" w:w="1900"/>
            <w:tcMar>
              <w:top w:type="dxa" w:w="80"/>
              <w:left w:type="dxa" w:w="100"/>
              <w:bottom w:type="dxa" w:w="80"/>
              <w:right w:type="dxa" w:w="100"/>
            </w:tcMar>
          </w:tcPr>
          <w:p>
            <w:r>
              <w:rPr>
                <w:b w:val="false"/>
                <w:bCs w:val="false"/>
                <w:sz w:val="20"/>
                <w:szCs w:val="20"/>
              </w:rPr>
              <w:t xml:space="preserve">Command injection</w:t>
            </w:r>
          </w:p>
        </w:tc>
        <w:tc>
          <w:tcPr>
            <w:tcW w:type="dxa" w:w="4000"/>
            <w:tcMar>
              <w:top w:type="dxa" w:w="80"/>
              <w:left w:type="dxa" w:w="100"/>
              <w:bottom w:type="dxa" w:w="80"/>
              <w:right w:type="dxa" w:w="100"/>
            </w:tcMar>
          </w:tcPr>
          <w:p>
            <w:r>
              <w:rPr>
                <w:b w:val="false"/>
                <w:bCs w:val="false"/>
                <w:sz w:val="20"/>
                <w:szCs w:val="20"/>
              </w:rPr>
              <w:t xml:space="preserve">Command output returned in the response that wasn't application-generated</w:t>
            </w:r>
          </w:p>
        </w:tc>
        <w:tc>
          <w:tcPr>
            <w:tcW w:type="dxa" w:w="3460"/>
            <w:tcMar>
              <w:top w:type="dxa" w:w="80"/>
              <w:left w:type="dxa" w:w="100"/>
              <w:bottom w:type="dxa" w:w="80"/>
              <w:right w:type="dxa" w:w="100"/>
            </w:tcMar>
          </w:tcPr>
          <w:p>
            <w:r>
              <w:rPr>
                <w:b w:val="false"/>
                <w:bCs w:val="false"/>
                <w:sz w:val="20"/>
                <w:szCs w:val="20"/>
              </w:rPr>
              <w:t xml:space="preserve">Output reveals host/environment detail confirming real execution</w:t>
            </w:r>
          </w:p>
        </w:tc>
      </w:tr>
      <w:tr>
        <w:tc>
          <w:tcPr>
            <w:tcW w:type="dxa" w:w="1900"/>
            <w:shd w:fill="F3F4F6" w:val="clear"/>
            <w:tcMar>
              <w:top w:type="dxa" w:w="80"/>
              <w:left w:type="dxa" w:w="100"/>
              <w:bottom w:type="dxa" w:w="80"/>
              <w:right w:type="dxa" w:w="100"/>
            </w:tcMar>
          </w:tcPr>
          <w:p>
            <w:r>
              <w:rPr>
                <w:b w:val="false"/>
                <w:bCs w:val="false"/>
                <w:sz w:val="20"/>
                <w:szCs w:val="20"/>
              </w:rPr>
              <w:t xml:space="preserve">Path traversal</w:t>
            </w:r>
          </w:p>
        </w:tc>
        <w:tc>
          <w:tcPr>
            <w:tcW w:type="dxa" w:w="4000"/>
            <w:shd w:fill="F3F4F6" w:val="clear"/>
            <w:tcMar>
              <w:top w:type="dxa" w:w="80"/>
              <w:left w:type="dxa" w:w="100"/>
              <w:bottom w:type="dxa" w:w="80"/>
              <w:right w:type="dxa" w:w="100"/>
            </w:tcMar>
          </w:tcPr>
          <w:p>
            <w:r>
              <w:rPr>
                <w:b w:val="false"/>
                <w:bCs w:val="false"/>
                <w:sz w:val="20"/>
                <w:szCs w:val="20"/>
              </w:rPr>
              <w:t xml:space="preserve">A file served from outside the intended web root</w:t>
            </w:r>
          </w:p>
        </w:tc>
        <w:tc>
          <w:tcPr>
            <w:tcW w:type="dxa" w:w="3460"/>
            <w:shd w:fill="F3F4F6" w:val="clear"/>
            <w:tcMar>
              <w:top w:type="dxa" w:w="80"/>
              <w:left w:type="dxa" w:w="100"/>
              <w:bottom w:type="dxa" w:w="80"/>
              <w:right w:type="dxa" w:w="100"/>
            </w:tcMar>
          </w:tcPr>
          <w:p>
            <w:r>
              <w:rPr>
                <w:b w:val="false"/>
                <w:bCs w:val="false"/>
                <w:sz w:val="20"/>
                <w:szCs w:val="20"/>
              </w:rPr>
              <w:t xml:space="preserve">Content of a known-sensitive file (e.g. a config or credentials file)</w:t>
            </w:r>
          </w:p>
        </w:tc>
      </w:tr>
      <w:tr>
        <w:tc>
          <w:tcPr>
            <w:tcW w:type="dxa" w:w="1900"/>
            <w:tcMar>
              <w:top w:type="dxa" w:w="80"/>
              <w:left w:type="dxa" w:w="100"/>
              <w:bottom w:type="dxa" w:w="80"/>
              <w:right w:type="dxa" w:w="100"/>
            </w:tcMar>
          </w:tcPr>
          <w:p>
            <w:r>
              <w:rPr>
                <w:b w:val="false"/>
                <w:bCs w:val="false"/>
                <w:sz w:val="20"/>
                <w:szCs w:val="20"/>
              </w:rPr>
              <w:t xml:space="preserve">IDOR / broken access control</w:t>
            </w:r>
          </w:p>
        </w:tc>
        <w:tc>
          <w:tcPr>
            <w:tcW w:type="dxa" w:w="4000"/>
            <w:tcMar>
              <w:top w:type="dxa" w:w="80"/>
              <w:left w:type="dxa" w:w="100"/>
              <w:bottom w:type="dxa" w:w="80"/>
              <w:right w:type="dxa" w:w="100"/>
            </w:tcMar>
          </w:tcPr>
          <w:p>
            <w:r>
              <w:rPr>
                <w:b w:val="false"/>
                <w:bCs w:val="false"/>
                <w:sz w:val="20"/>
                <w:szCs w:val="20"/>
              </w:rPr>
              <w:t xml:space="preserve">Differential access: same request, two identities, two different owners' data</w:t>
            </w:r>
          </w:p>
        </w:tc>
        <w:tc>
          <w:tcPr>
            <w:tcW w:type="dxa" w:w="3460"/>
            <w:tcMar>
              <w:top w:type="dxa" w:w="80"/>
              <w:left w:type="dxa" w:w="100"/>
              <w:bottom w:type="dxa" w:w="80"/>
              <w:right w:type="dxa" w:w="100"/>
            </w:tcMar>
          </w:tcPr>
          <w:p>
            <w:r>
              <w:rPr>
                <w:b w:val="false"/>
                <w:bCs w:val="false"/>
                <w:sz w:val="20"/>
                <w:szCs w:val="20"/>
              </w:rPr>
              <w:t xml:space="preserve">Response contains another user's actual data, not just a 200 status</w:t>
            </w:r>
          </w:p>
        </w:tc>
      </w:tr>
      <w:tr>
        <w:tc>
          <w:tcPr>
            <w:tcW w:type="dxa" w:w="1900"/>
            <w:shd w:fill="F3F4F6" w:val="clear"/>
            <w:tcMar>
              <w:top w:type="dxa" w:w="80"/>
              <w:left w:type="dxa" w:w="100"/>
              <w:bottom w:type="dxa" w:w="80"/>
              <w:right w:type="dxa" w:w="100"/>
            </w:tcMar>
          </w:tcPr>
          <w:p>
            <w:r>
              <w:rPr>
                <w:b w:val="false"/>
                <w:bCs w:val="false"/>
                <w:sz w:val="20"/>
                <w:szCs w:val="20"/>
              </w:rPr>
              <w:t xml:space="preserve">SSRF</w:t>
            </w:r>
          </w:p>
        </w:tc>
        <w:tc>
          <w:tcPr>
            <w:tcW w:type="dxa" w:w="4000"/>
            <w:shd w:fill="F3F4F6" w:val="clear"/>
            <w:tcMar>
              <w:top w:type="dxa" w:w="80"/>
              <w:left w:type="dxa" w:w="100"/>
              <w:bottom w:type="dxa" w:w="80"/>
              <w:right w:type="dxa" w:w="100"/>
            </w:tcMar>
          </w:tcPr>
          <w:p>
            <w:r>
              <w:rPr>
                <w:b w:val="false"/>
                <w:bCs w:val="false"/>
                <w:sz w:val="20"/>
                <w:szCs w:val="20"/>
              </w:rPr>
              <w:t xml:space="preserve">Application induced to make an unintended outbound request</w:t>
            </w:r>
          </w:p>
        </w:tc>
        <w:tc>
          <w:tcPr>
            <w:tcW w:type="dxa" w:w="3460"/>
            <w:shd w:fill="F3F4F6" w:val="clear"/>
            <w:tcMar>
              <w:top w:type="dxa" w:w="80"/>
              <w:left w:type="dxa" w:w="100"/>
              <w:bottom w:type="dxa" w:w="80"/>
              <w:right w:type="dxa" w:w="100"/>
            </w:tcMar>
          </w:tcPr>
          <w:p>
            <w:r>
              <w:rPr>
                <w:b w:val="false"/>
                <w:bCs w:val="false"/>
                <w:sz w:val="20"/>
                <w:szCs w:val="20"/>
              </w:rPr>
              <w:t xml:space="preserve">Out-of-band callback (DNS/HTTP) received for blind cases; internal resource content for non-blind</w:t>
            </w:r>
          </w:p>
        </w:tc>
      </w:tr>
      <w:tr>
        <w:tc>
          <w:tcPr>
            <w:tcW w:type="dxa" w:w="1900"/>
            <w:tcMar>
              <w:top w:type="dxa" w:w="80"/>
              <w:left w:type="dxa" w:w="100"/>
              <w:bottom w:type="dxa" w:w="80"/>
              <w:right w:type="dxa" w:w="100"/>
            </w:tcMar>
          </w:tcPr>
          <w:p>
            <w:r>
              <w:rPr>
                <w:b w:val="false"/>
                <w:bCs w:val="false"/>
                <w:sz w:val="20"/>
                <w:szCs w:val="20"/>
              </w:rPr>
              <w:t xml:space="preserve">Auth bypass</w:t>
            </w:r>
          </w:p>
        </w:tc>
        <w:tc>
          <w:tcPr>
            <w:tcW w:type="dxa" w:w="4000"/>
            <w:tcMar>
              <w:top w:type="dxa" w:w="80"/>
              <w:left w:type="dxa" w:w="100"/>
              <w:bottom w:type="dxa" w:w="80"/>
              <w:right w:type="dxa" w:w="100"/>
            </w:tcMar>
          </w:tcPr>
          <w:p>
            <w:r>
              <w:rPr>
                <w:b w:val="false"/>
                <w:bCs w:val="false"/>
                <w:sz w:val="20"/>
                <w:szCs w:val="20"/>
              </w:rPr>
              <w:t xml:space="preserve">Access to a protected resource without valid credentials, replayed against a baseline denial</w:t>
            </w:r>
          </w:p>
        </w:tc>
        <w:tc>
          <w:tcPr>
            <w:tcW w:type="dxa" w:w="3460"/>
            <w:tcMar>
              <w:top w:type="dxa" w:w="80"/>
              <w:left w:type="dxa" w:w="100"/>
              <w:bottom w:type="dxa" w:w="80"/>
              <w:right w:type="dxa" w:w="100"/>
            </w:tcMar>
          </w:tcPr>
          <w:p>
            <w:r>
              <w:rPr>
                <w:b w:val="false"/>
                <w:bCs w:val="false"/>
                <w:sz w:val="20"/>
                <w:szCs w:val="20"/>
              </w:rPr>
              <w:t xml:space="preserve">The bypassed resource returns the same content an authenticated user would see</w:t>
            </w:r>
          </w:p>
        </w:tc>
      </w:tr>
      <w:tr>
        <w:tc>
          <w:tcPr>
            <w:tcW w:type="dxa" w:w="1900"/>
            <w:shd w:fill="F3F4F6" w:val="clear"/>
            <w:tcMar>
              <w:top w:type="dxa" w:w="80"/>
              <w:left w:type="dxa" w:w="100"/>
              <w:bottom w:type="dxa" w:w="80"/>
              <w:right w:type="dxa" w:w="100"/>
            </w:tcMar>
          </w:tcPr>
          <w:p>
            <w:r>
              <w:rPr>
                <w:b w:val="false"/>
                <w:bCs w:val="false"/>
                <w:sz w:val="20"/>
                <w:szCs w:val="20"/>
              </w:rPr>
              <w:t xml:space="preserve">Privilege escalation</w:t>
            </w:r>
          </w:p>
        </w:tc>
        <w:tc>
          <w:tcPr>
            <w:tcW w:type="dxa" w:w="4000"/>
            <w:shd w:fill="F3F4F6" w:val="clear"/>
            <w:tcMar>
              <w:top w:type="dxa" w:w="80"/>
              <w:left w:type="dxa" w:w="100"/>
              <w:bottom w:type="dxa" w:w="80"/>
              <w:right w:type="dxa" w:w="100"/>
            </w:tcMar>
          </w:tcPr>
          <w:p>
            <w:r>
              <w:rPr>
                <w:b w:val="false"/>
                <w:bCs w:val="false"/>
                <w:sz w:val="20"/>
                <w:szCs w:val="20"/>
              </w:rPr>
              <w:t xml:space="preserve">An action succeeds post-escalation that failed pre-escalation, same account</w:t>
            </w:r>
          </w:p>
        </w:tc>
        <w:tc>
          <w:tcPr>
            <w:tcW w:type="dxa" w:w="3460"/>
            <w:shd w:fill="F3F4F6" w:val="clear"/>
            <w:tcMar>
              <w:top w:type="dxa" w:w="80"/>
              <w:left w:type="dxa" w:w="100"/>
              <w:bottom w:type="dxa" w:w="80"/>
              <w:right w:type="dxa" w:w="100"/>
            </w:tcMar>
          </w:tcPr>
          <w:p>
            <w:r>
              <w:rPr>
                <w:b w:val="false"/>
                <w:bCs w:val="false"/>
                <w:sz w:val="20"/>
                <w:szCs w:val="20"/>
              </w:rPr>
              <w:t xml:space="preserve">The action reflects a genuinely higher privilege tier, not a misconfigured baseline</w:t>
            </w:r>
          </w:p>
        </w:tc>
      </w:tr>
    </w:tbl>
    <w:p>
      <w:pPr>
        <w:spacing w:before="200"/>
      </w:pPr>
    </w:p>
    <w:p>
      <w:pPr>
        <w:spacing w:after="160" w:line="276"/>
      </w:pPr>
      <w:r>
        <w:rPr>
          <w:sz w:val="22"/>
          <w:szCs w:val="22"/>
        </w:rPr>
        <w:t xml:space="preserve">This table is the starting reference set, covering the classes most relevant to Pluto's initial web + network focus (Section 2.3). It is intentionally structured as a table so it is easy to extend as Pluto's scope grows — a new row is a new validator strategy, not a redesign of the mechanism.</w:t>
      </w:r>
    </w:p>
    <w:p>
      <w:pPr>
        <w:pStyle w:val="Heading3"/>
        <w:spacing w:after="100" w:before="200"/>
      </w:pPr>
      <w:r>
        <w:t xml:space="preserve">How this fits the schema and the agent model</w:t>
      </w:r>
    </w:p>
    <w:p>
      <w:pPr>
        <w:pStyle w:val="ListParagraph"/>
        <w:numPr>
          <w:ilvl w:val="0"/>
          <w:numId w:val="1"/>
        </w:numPr>
        <w:spacing w:after="90" w:line="264"/>
      </w:pPr>
      <w:r>
        <w:t xml:space="preserve">validations.validator (Section 4.4) names which strategy from this table ran; baseline_ref and attack_ref capture the two requests being compared; diff_summary states which of the two proof categories, technical or impact, was satisfied and how.</w:t>
      </w:r>
    </w:p>
    <w:p>
      <w:pPr>
        <w:pStyle w:val="ListParagraph"/>
        <w:numPr>
          <w:ilvl w:val="0"/>
          <w:numId w:val="1"/>
        </w:numPr>
        <w:spacing w:after="90" w:line="264"/>
      </w:pPr>
      <w:r>
        <w:t xml:space="preserve">Consistent with the pattern seen across the field survey (Section 9), validation is best run by a role distinct from the one that proposed the finding — an exploit-focused pass takes a single candidate and tries specifically to break or confirm it, separate from the exploratory reasoning that generated the hypothesis. This keeps Gate 1 honest: the same reasoning that got excited about a finding is not the reasoning that gets to confirm it.</w:t>
      </w:r>
    </w:p>
    <w:p>
      <w:pPr>
        <w:pStyle w:val="ListParagraph"/>
        <w:numPr>
          <w:ilvl w:val="0"/>
          <w:numId w:val="1"/>
        </w:numPr>
        <w:spacing w:after="90" w:line="264"/>
      </w:pPr>
      <w:r>
        <w:t xml:space="preserve">Blind and out-of-band cases (blind SQLi, blind SSRF) require the validator to manage a callback/timing channel rather than a same-request comparison — see Section 4.7 for the out-of-band interaction infrastructure that handles this.</w:t>
      </w:r>
    </w:p>
    <w:p>
      <w:pPr>
        <w:pStyle w:val="Heading2"/>
        <w:spacing w:after="150" w:before="300"/>
      </w:pPr>
      <w:r>
        <w:t xml:space="preserve">4.7 Blind Vulnerability Validators — Out-of-Band Infrastructure</w:t>
      </w:r>
    </w:p>
    <w:p>
      <w:pPr>
        <w:spacing w:after="160" w:line="276"/>
      </w:pPr>
      <w:r>
        <w:rPr>
          <w:sz w:val="22"/>
          <w:szCs w:val="22"/>
        </w:rPr>
        <w:t xml:space="preserve">Several validator classes in the table above (blind SQL injection, blind SSRF) cannot be confirmed by inspecting the same request/response pair, because the vulnerability produces no visible output. These require a dedicated out-of-band interaction channel, and this is a solved problem in the existing tooling ecosystem rather than something Pluto needs to invent.</w:t>
      </w:r>
    </w:p>
    <w:p>
      <w:pPr>
        <w:spacing w:after="160" w:line="276"/>
      </w:pPr>
      <w:r>
        <w:rPr>
          <w:sz w:val="22"/>
          <w:szCs w:val="22"/>
        </w:rPr>
        <w:t xml:space="preserve">The design: Pluto runs a self-hosted OAST-style interaction server (the Interactsh model), which hands out unique, disposable subdomains and logs every DNS, HTTP, SMTP, and LDAP interaction that hits them. Each payload embeds a correlation ID unique to that specific attempt, so an inbound callback can be matched back to the exact attempts row that triggered it, exactly as Interactsh's own client library does when it registers a subdomain, embeds it in a request, and later polls for interactions tied to that same correlation ID.</w:t>
      </w:r>
    </w:p>
    <w:p>
      <w:pPr>
        <w:pStyle w:val="ListParagraph"/>
        <w:numPr>
          <w:ilvl w:val="0"/>
          <w:numId w:val="1"/>
        </w:numPr>
        <w:spacing w:after="90" w:line="264"/>
      </w:pPr>
      <w:r>
        <w:rPr>
          <w:b/>
          <w:bCs/>
          <w:sz w:val="22"/>
          <w:szCs w:val="22"/>
        </w:rPr>
        <w:t xml:space="preserve">Trigger: </w:t>
      </w:r>
      <w:r>
        <w:rPr>
          <w:sz w:val="22"/>
          <w:szCs w:val="22"/>
        </w:rPr>
        <w:t xml:space="preserve">when the reasoning core wants to test a blind SQLi or blind SSRF candidate, it requests a fresh correlation ID and subdomain from the self-hosted interaction server before crafting the payload.</w:t>
      </w:r>
    </w:p>
    <w:p>
      <w:pPr>
        <w:pStyle w:val="ListParagraph"/>
        <w:numPr>
          <w:ilvl w:val="0"/>
          <w:numId w:val="1"/>
        </w:numPr>
        <w:spacing w:after="90" w:line="264"/>
      </w:pPr>
      <w:r>
        <w:rPr>
          <w:b/>
          <w:bCs/>
          <w:sz w:val="22"/>
          <w:szCs w:val="22"/>
        </w:rPr>
        <w:t xml:space="preserve">Logging: </w:t>
      </w:r>
      <w:r>
        <w:rPr>
          <w:sz w:val="22"/>
          <w:szCs w:val="22"/>
        </w:rPr>
        <w:t xml:space="preserve">the subdomain-to-attempt pairing is written to the attempts table (Section 4.3) at request time, so a later callback can be joined back to the specific injection point and payload that caused it.</w:t>
      </w:r>
    </w:p>
    <w:p>
      <w:pPr>
        <w:pStyle w:val="ListParagraph"/>
        <w:numPr>
          <w:ilvl w:val="0"/>
          <w:numId w:val="1"/>
        </w:numPr>
        <w:spacing w:after="90" w:line="264"/>
      </w:pPr>
      <w:r>
        <w:rPr>
          <w:b/>
          <w:bCs/>
          <w:sz w:val="22"/>
          <w:szCs w:val="22"/>
        </w:rPr>
        <w:t xml:space="preserve">Confirmation: </w:t>
      </w:r>
      <w:r>
        <w:rPr>
          <w:sz w:val="22"/>
          <w:szCs w:val="22"/>
        </w:rPr>
        <w:t xml:space="preserve">the payload is sent, and the harness polls the interaction server asynchronously rather than waiting synchronously, since a callback may be delayed if the injected code is only reached later, for example inside a cron job or an async queue worker rather than the original request thread.</w:t>
      </w:r>
    </w:p>
    <w:p>
      <w:pPr>
        <w:pStyle w:val="ListParagraph"/>
        <w:numPr>
          <w:ilvl w:val="0"/>
          <w:numId w:val="1"/>
        </w:numPr>
        <w:spacing w:after="90" w:line="264"/>
      </w:pPr>
      <w:r>
        <w:rPr>
          <w:b/>
          <w:bCs/>
          <w:sz w:val="22"/>
          <w:szCs w:val="22"/>
        </w:rPr>
        <w:t xml:space="preserve">Result: </w:t>
      </w:r>
      <w:r>
        <w:rPr>
          <w:sz w:val="22"/>
          <w:szCs w:val="22"/>
        </w:rPr>
        <w:t xml:space="preserve">a logged interaction on that specific subdomain is unambiguous Gate 1 evidence, since it proves the target infrastructure itself reached out to infrastructure Pluto controls, which cannot happen by coincidence.</w:t>
      </w:r>
    </w:p>
    <w:p>
      <w:pPr>
        <w:spacing w:after="160" w:line="276"/>
      </w:pPr>
      <w:r>
        <w:rPr>
          <w:sz w:val="22"/>
          <w:szCs w:val="22"/>
        </w:rPr>
        <w:t xml:space="preserve">Running this self-hosted rather than relying on a public OAST provider keeps interaction data private to Pluto and avoids depending on shared public infrastructure (the default interactsh servers) for what is effectively proof of exploitation on a client's system.</w:t>
      </w:r>
    </w:p>
    <w:p>
      <w:pPr>
        <w:pStyle w:val="Heading2"/>
        <w:spacing w:after="150" w:before="300"/>
      </w:pPr>
      <w:r>
        <w:t xml:space="preserve">4.6 Open Refinements for Engineering</w:t>
      </w:r>
    </w:p>
    <w:p>
      <w:pPr>
        <w:pStyle w:val="ListParagraph"/>
        <w:numPr>
          <w:ilvl w:val="0"/>
          <w:numId w:val="1"/>
        </w:numPr>
        <w:spacing w:after="90" w:line="264"/>
      </w:pPr>
      <w:r>
        <w:t xml:space="preserve">Whether the automatic KB-query-on-fingerprint should write its hits into a dedicated kb_hits table (finding_id, cve, source, relevance, retrieved_at) or attach them to the spawned node — a normalization choice to settle when Layer 5's query mechanics are designed.</w:t>
      </w:r>
    </w:p>
    <w:p>
      <w:pPr>
        <w:pStyle w:val="ListParagraph"/>
        <w:numPr>
          <w:ilvl w:val="0"/>
          <w:numId w:val="1"/>
        </w:numPr>
        <w:spacing w:after="90" w:line="264"/>
      </w:pPr>
      <w:r>
        <w:t xml:space="preserve">Whether cross_service_hypothesis nodes need a many-to-many join to the multiple findings they connect, rather than a single node_id, since attack-path chaining (Section 7) is inherently multi-node.</w:t>
      </w:r>
    </w:p>
    <w:p>
      <w:pPr>
        <w:pStyle w:val="ListParagraph"/>
        <w:numPr>
          <w:ilvl w:val="0"/>
          <w:numId w:val="1"/>
        </w:numPr>
        <w:spacing w:after="90" w:line="264"/>
      </w:pPr>
      <w:r>
        <w:t xml:space="preserve">Retention and export format for the state DB after an engagement closes, feeding the self-learned KB tier.</w:t>
      </w:r>
    </w:p>
    <w:p>
      <w:pPr>
        <w:pStyle w:val="ListParagraph"/>
        <w:numPr>
          <w:ilvl w:val="0"/>
          <w:numId w:val="1"/>
        </w:numPr>
        <w:spacing w:after="90" w:line="264"/>
      </w:pPr>
      <w:r>
        <w:t xml:space="preserve">Extending the validator library (Section 4.5) beyond the initial eight classes as Pluto's tool coverage grows — business-logic vulnerabilities in particular resist a clean technical-signal/impact-artifact split and will need their own design pass.</w:t>
      </w:r>
    </w:p>
    <w:p>
      <w:r>
        <w:br w:type="page"/>
      </w:r>
    </w:p>
    <w:p>
      <w:pPr>
        <w:pStyle w:val="Heading1"/>
        <w:spacing w:after="200" w:before="400"/>
      </w:pPr>
      <w:r>
        <w:t xml:space="preserve">5. Operational Discipline — Decision Trees, Phase Gates, and Effort Budgets</w:t>
      </w:r>
    </w:p>
    <w:p>
      <w:pPr>
        <w:spacing w:after="160" w:line="276"/>
      </w:pPr>
      <w:r>
        <w:rPr>
          <w:sz w:val="22"/>
          <w:szCs w:val="22"/>
        </w:rPr>
        <w:t xml:space="preserve">A pass through the VAPT methodology research against the rest of this document turned up three recommendations that were present in the research but had not actually been carried into the architecture: per-service decision trees prioritizing cheap wins before CVE exploits, explicit done-criteria per phase, and rabbit-hole time-boxing paired with a verified-fact ledger. This section closes those gaps. It also formally adopts MITRE ATT&amp;CK as Pluto's internal action vocabulary, which prior sections referenced only descriptively.</w:t>
      </w:r>
    </w:p>
    <w:p>
      <w:pPr>
        <w:pStyle w:val="Heading2"/>
        <w:spacing w:after="150" w:before="300"/>
      </w:pPr>
      <w:r>
        <w:t xml:space="preserve">5.1 Per-Service Decision Trees</w:t>
      </w:r>
    </w:p>
    <w:p>
      <w:pPr>
        <w:spacing w:after="160" w:line="276"/>
      </w:pPr>
      <w:r>
        <w:rPr>
          <w:sz w:val="22"/>
          <w:szCs w:val="22"/>
        </w:rPr>
        <w:t xml:space="preserve">Network VAPT practice does not treat every open port the same way. For each service type, the pattern is consistent: check for misconfigurations and default credentials before reaching for a CVE exploit, because they are faster, more reliable, and stealthier. A port found open and fingerprinted should branch through this order, not go straight to a CVE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660"/>
      </w:tblGrid>
      <w:tr>
        <w:trPr>
          <w:tblHeader/>
        </w:trPr>
        <w:tc>
          <w:tcPr>
            <w:tcW w:type="dxa" w:w="1500"/>
            <w:shd w:fill="1F2937" w:val="clear"/>
            <w:tcMar>
              <w:top w:type="dxa" w:w="80"/>
              <w:left w:type="dxa" w:w="100"/>
              <w:bottom w:type="dxa" w:w="80"/>
              <w:right w:type="dxa" w:w="100"/>
            </w:tcMar>
          </w:tcPr>
          <w:p>
            <w:r>
              <w:rPr>
                <w:b/>
                <w:bCs/>
                <w:color w:val="FFFFFF"/>
                <w:sz w:val="20"/>
                <w:szCs w:val="20"/>
              </w:rPr>
              <w:t xml:space="preserve">Service</w:t>
            </w:r>
          </w:p>
        </w:tc>
        <w:tc>
          <w:tcPr>
            <w:tcW w:type="dxa" w:w="2600"/>
            <w:shd w:fill="1F2937" w:val="clear"/>
            <w:tcMar>
              <w:top w:type="dxa" w:w="80"/>
              <w:left w:type="dxa" w:w="100"/>
              <w:bottom w:type="dxa" w:w="80"/>
              <w:right w:type="dxa" w:w="100"/>
            </w:tcMar>
          </w:tcPr>
          <w:p>
            <w:r>
              <w:rPr>
                <w:b/>
                <w:bCs/>
                <w:color w:val="FFFFFF"/>
                <w:sz w:val="20"/>
                <w:szCs w:val="20"/>
              </w:rPr>
              <w:t xml:space="preserve">Check first (cheap, reliable)</w:t>
            </w:r>
          </w:p>
        </w:tc>
        <w:tc>
          <w:tcPr>
            <w:tcW w:type="dxa" w:w="2600"/>
            <w:shd w:fill="1F2937" w:val="clear"/>
            <w:tcMar>
              <w:top w:type="dxa" w:w="80"/>
              <w:left w:type="dxa" w:w="100"/>
              <w:bottom w:type="dxa" w:w="80"/>
              <w:right w:type="dxa" w:w="100"/>
            </w:tcMar>
          </w:tcPr>
          <w:p>
            <w:r>
              <w:rPr>
                <w:b/>
                <w:bCs/>
                <w:color w:val="FFFFFF"/>
                <w:sz w:val="20"/>
                <w:szCs w:val="20"/>
              </w:rPr>
              <w:t xml:space="preserve">Then enumerate</w:t>
            </w:r>
          </w:p>
        </w:tc>
        <w:tc>
          <w:tcPr>
            <w:tcW w:type="dxa" w:w="2660"/>
            <w:shd w:fill="1F2937" w:val="clear"/>
            <w:tcMar>
              <w:top w:type="dxa" w:w="80"/>
              <w:left w:type="dxa" w:w="100"/>
              <w:bottom w:type="dxa" w:w="80"/>
              <w:right w:type="dxa" w:w="100"/>
            </w:tcMar>
          </w:tcPr>
          <w:p>
            <w:r>
              <w:rPr>
                <w:b/>
                <w:bCs/>
                <w:color w:val="FFFFFF"/>
                <w:sz w:val="20"/>
                <w:szCs w:val="20"/>
              </w:rPr>
              <w:t xml:space="preserve">Then CVE path</w:t>
            </w:r>
          </w:p>
        </w:tc>
      </w:tr>
      <w:tr>
        <w:tc>
          <w:tcPr>
            <w:tcW w:type="dxa" w:w="1500"/>
            <w:tcMar>
              <w:top w:type="dxa" w:w="80"/>
              <w:left w:type="dxa" w:w="100"/>
              <w:bottom w:type="dxa" w:w="80"/>
              <w:right w:type="dxa" w:w="100"/>
            </w:tcMar>
          </w:tcPr>
          <w:p>
            <w:r>
              <w:rPr>
                <w:b w:val="false"/>
                <w:bCs w:val="false"/>
                <w:sz w:val="20"/>
                <w:szCs w:val="20"/>
              </w:rPr>
              <w:t xml:space="preserve">SMB (139/445)</w:t>
            </w:r>
          </w:p>
        </w:tc>
        <w:tc>
          <w:tcPr>
            <w:tcW w:type="dxa" w:w="2600"/>
            <w:tcMar>
              <w:top w:type="dxa" w:w="80"/>
              <w:left w:type="dxa" w:w="100"/>
              <w:bottom w:type="dxa" w:w="80"/>
              <w:right w:type="dxa" w:w="100"/>
            </w:tcMar>
          </w:tcPr>
          <w:p>
            <w:r>
              <w:rPr>
                <w:b w:val="false"/>
                <w:bCs w:val="false"/>
                <w:sz w:val="20"/>
                <w:szCs w:val="20"/>
              </w:rPr>
              <w:t xml:space="preserve">Null session on IPC$; default/weak creds</w:t>
            </w:r>
          </w:p>
        </w:tc>
        <w:tc>
          <w:tcPr>
            <w:tcW w:type="dxa" w:w="2600"/>
            <w:tcMar>
              <w:top w:type="dxa" w:w="80"/>
              <w:left w:type="dxa" w:w="100"/>
              <w:bottom w:type="dxa" w:w="80"/>
              <w:right w:type="dxa" w:w="100"/>
            </w:tcMar>
          </w:tcPr>
          <w:p>
            <w:r>
              <w:rPr>
                <w:b w:val="false"/>
                <w:bCs w:val="false"/>
                <w:sz w:val="20"/>
                <w:szCs w:val="20"/>
              </w:rPr>
              <w:t xml:space="preserve">Share listing, RID-cycle user enum, SMB signing check</w:t>
            </w:r>
          </w:p>
        </w:tc>
        <w:tc>
          <w:tcPr>
            <w:tcW w:type="dxa" w:w="2660"/>
            <w:tcMar>
              <w:top w:type="dxa" w:w="80"/>
              <w:left w:type="dxa" w:w="100"/>
              <w:bottom w:type="dxa" w:w="80"/>
              <w:right w:type="dxa" w:w="100"/>
            </w:tcMar>
          </w:tcPr>
          <w:p>
            <w:r>
              <w:rPr>
                <w:b w:val="false"/>
                <w:bCs w:val="false"/>
                <w:sz w:val="20"/>
                <w:szCs w:val="20"/>
              </w:rPr>
              <w:t xml:space="preserve">EternalBlue-class, SMBGhost, version-specific RCEs</w:t>
            </w:r>
          </w:p>
        </w:tc>
      </w:tr>
      <w:tr>
        <w:tc>
          <w:tcPr>
            <w:tcW w:type="dxa" w:w="1500"/>
            <w:shd w:fill="F3F4F6" w:val="clear"/>
            <w:tcMar>
              <w:top w:type="dxa" w:w="80"/>
              <w:left w:type="dxa" w:w="100"/>
              <w:bottom w:type="dxa" w:w="80"/>
              <w:right w:type="dxa" w:w="100"/>
            </w:tcMar>
          </w:tcPr>
          <w:p>
            <w:r>
              <w:rPr>
                <w:b w:val="false"/>
                <w:bCs w:val="false"/>
                <w:sz w:val="20"/>
                <w:szCs w:val="20"/>
              </w:rPr>
              <w:t xml:space="preserve">SSH (22)</w:t>
            </w:r>
          </w:p>
        </w:tc>
        <w:tc>
          <w:tcPr>
            <w:tcW w:type="dxa" w:w="2600"/>
            <w:shd w:fill="F3F4F6" w:val="clear"/>
            <w:tcMar>
              <w:top w:type="dxa" w:w="80"/>
              <w:left w:type="dxa" w:w="100"/>
              <w:bottom w:type="dxa" w:w="80"/>
              <w:right w:type="dxa" w:w="100"/>
            </w:tcMar>
          </w:tcPr>
          <w:p>
            <w:r>
              <w:rPr>
                <w:b w:val="false"/>
                <w:bCs w:val="false"/>
                <w:sz w:val="20"/>
                <w:szCs w:val="20"/>
              </w:rPr>
              <w:t xml:space="preserve">Default/weak creds, credential reuse from elsewhere</w:t>
            </w:r>
          </w:p>
        </w:tc>
        <w:tc>
          <w:tcPr>
            <w:tcW w:type="dxa" w:w="2600"/>
            <w:shd w:fill="F3F4F6" w:val="clear"/>
            <w:tcMar>
              <w:top w:type="dxa" w:w="80"/>
              <w:left w:type="dxa" w:w="100"/>
              <w:bottom w:type="dxa" w:w="80"/>
              <w:right w:type="dxa" w:w="100"/>
            </w:tcMar>
          </w:tcPr>
          <w:p>
            <w:r>
              <w:rPr>
                <w:b w:val="false"/>
                <w:bCs w:val="false"/>
                <w:sz w:val="20"/>
                <w:szCs w:val="20"/>
              </w:rPr>
              <w:t xml:space="preserve">Offered auth methods, key/algorithm fingerprint</w:t>
            </w:r>
          </w:p>
        </w:tc>
        <w:tc>
          <w:tcPr>
            <w:tcW w:type="dxa" w:w="2660"/>
            <w:shd w:fill="F3F4F6" w:val="clear"/>
            <w:tcMar>
              <w:top w:type="dxa" w:w="80"/>
              <w:left w:type="dxa" w:w="100"/>
              <w:bottom w:type="dxa" w:w="80"/>
              <w:right w:type="dxa" w:w="100"/>
            </w:tcMar>
          </w:tcPr>
          <w:p>
            <w:r>
              <w:rPr>
                <w:b w:val="false"/>
                <w:bCs w:val="false"/>
                <w:sz w:val="20"/>
                <w:szCs w:val="20"/>
              </w:rPr>
              <w:t xml:space="preserve">Version-specific CVEs; weak host/user keys</w:t>
            </w:r>
          </w:p>
        </w:tc>
      </w:tr>
      <w:tr>
        <w:tc>
          <w:tcPr>
            <w:tcW w:type="dxa" w:w="1500"/>
            <w:tcMar>
              <w:top w:type="dxa" w:w="80"/>
              <w:left w:type="dxa" w:w="100"/>
              <w:bottom w:type="dxa" w:w="80"/>
              <w:right w:type="dxa" w:w="100"/>
            </w:tcMar>
          </w:tcPr>
          <w:p>
            <w:r>
              <w:rPr>
                <w:b w:val="false"/>
                <w:bCs w:val="false"/>
                <w:sz w:val="20"/>
                <w:szCs w:val="20"/>
              </w:rPr>
              <w:t xml:space="preserve">FTP (21)</w:t>
            </w:r>
          </w:p>
        </w:tc>
        <w:tc>
          <w:tcPr>
            <w:tcW w:type="dxa" w:w="2600"/>
            <w:tcMar>
              <w:top w:type="dxa" w:w="80"/>
              <w:left w:type="dxa" w:w="100"/>
              <w:bottom w:type="dxa" w:w="80"/>
              <w:right w:type="dxa" w:w="100"/>
            </w:tcMar>
          </w:tcPr>
          <w:p>
            <w:r>
              <w:rPr>
                <w:b w:val="false"/>
                <w:bCs w:val="false"/>
                <w:sz w:val="20"/>
                <w:szCs w:val="20"/>
              </w:rPr>
              <w:t xml:space="preserve">Anonymous login</w:t>
            </w:r>
          </w:p>
        </w:tc>
        <w:tc>
          <w:tcPr>
            <w:tcW w:type="dxa" w:w="2600"/>
            <w:tcMar>
              <w:top w:type="dxa" w:w="80"/>
              <w:left w:type="dxa" w:w="100"/>
              <w:bottom w:type="dxa" w:w="80"/>
              <w:right w:type="dxa" w:w="100"/>
            </w:tcMar>
          </w:tcPr>
          <w:p>
            <w:r>
              <w:rPr>
                <w:b w:val="false"/>
                <w:bCs w:val="false"/>
                <w:sz w:val="20"/>
                <w:szCs w:val="20"/>
              </w:rPr>
              <w:t xml:space="preserve">Directory listing, writable paths</w:t>
            </w:r>
          </w:p>
        </w:tc>
        <w:tc>
          <w:tcPr>
            <w:tcW w:type="dxa" w:w="2660"/>
            <w:tcMar>
              <w:top w:type="dxa" w:w="80"/>
              <w:left w:type="dxa" w:w="100"/>
              <w:bottom w:type="dxa" w:w="80"/>
              <w:right w:type="dxa" w:w="100"/>
            </w:tcMar>
          </w:tcPr>
          <w:p>
            <w:r>
              <w:rPr>
                <w:b w:val="false"/>
                <w:bCs w:val="false"/>
                <w:sz w:val="20"/>
                <w:szCs w:val="20"/>
              </w:rPr>
              <w:t xml:space="preserve">Version-specific backdoors (e.g. vsFTPd-class)</w:t>
            </w:r>
          </w:p>
        </w:tc>
      </w:tr>
      <w:tr>
        <w:tc>
          <w:tcPr>
            <w:tcW w:type="dxa" w:w="1500"/>
            <w:shd w:fill="F3F4F6" w:val="clear"/>
            <w:tcMar>
              <w:top w:type="dxa" w:w="80"/>
              <w:left w:type="dxa" w:w="100"/>
              <w:bottom w:type="dxa" w:w="80"/>
              <w:right w:type="dxa" w:w="100"/>
            </w:tcMar>
          </w:tcPr>
          <w:p>
            <w:r>
              <w:rPr>
                <w:b w:val="false"/>
                <w:bCs w:val="false"/>
                <w:sz w:val="20"/>
                <w:szCs w:val="20"/>
              </w:rPr>
              <w:t xml:space="preserve">SNMP (161/UDP)</w:t>
            </w:r>
          </w:p>
        </w:tc>
        <w:tc>
          <w:tcPr>
            <w:tcW w:type="dxa" w:w="2600"/>
            <w:shd w:fill="F3F4F6" w:val="clear"/>
            <w:tcMar>
              <w:top w:type="dxa" w:w="80"/>
              <w:left w:type="dxa" w:w="100"/>
              <w:bottom w:type="dxa" w:w="80"/>
              <w:right w:type="dxa" w:w="100"/>
            </w:tcMar>
          </w:tcPr>
          <w:p>
            <w:r>
              <w:rPr>
                <w:b w:val="false"/>
                <w:bCs w:val="false"/>
                <w:sz w:val="20"/>
                <w:szCs w:val="20"/>
              </w:rPr>
              <w:t xml:space="preserve">Default community strings (public/private)</w:t>
            </w:r>
          </w:p>
        </w:tc>
        <w:tc>
          <w:tcPr>
            <w:tcW w:type="dxa" w:w="2600"/>
            <w:shd w:fill="F3F4F6" w:val="clear"/>
            <w:tcMar>
              <w:top w:type="dxa" w:w="80"/>
              <w:left w:type="dxa" w:w="100"/>
              <w:bottom w:type="dxa" w:w="80"/>
              <w:right w:type="dxa" w:w="100"/>
            </w:tcMar>
          </w:tcPr>
          <w:p>
            <w:r>
              <w:rPr>
                <w:b w:val="false"/>
                <w:bCs w:val="false"/>
                <w:sz w:val="20"/>
                <w:szCs w:val="20"/>
              </w:rPr>
              <w:t xml:space="preserve">snmpwalk system/process/interface dump</w:t>
            </w:r>
          </w:p>
        </w:tc>
        <w:tc>
          <w:tcPr>
            <w:tcW w:type="dxa" w:w="2660"/>
            <w:shd w:fill="F3F4F6" w:val="clear"/>
            <w:tcMar>
              <w:top w:type="dxa" w:w="80"/>
              <w:left w:type="dxa" w:w="100"/>
              <w:bottom w:type="dxa" w:w="80"/>
              <w:right w:type="dxa" w:w="100"/>
            </w:tcMar>
          </w:tcPr>
          <w:p>
            <w:r>
              <w:rPr>
                <w:b w:val="false"/>
                <w:bCs w:val="false"/>
                <w:sz w:val="20"/>
                <w:szCs w:val="20"/>
              </w:rPr>
              <w:t xml:space="preserve">RW-string RCE, vendor-specific CVEs</w:t>
            </w:r>
          </w:p>
        </w:tc>
      </w:tr>
      <w:tr>
        <w:tc>
          <w:tcPr>
            <w:tcW w:type="dxa" w:w="1500"/>
            <w:tcMar>
              <w:top w:type="dxa" w:w="80"/>
              <w:left w:type="dxa" w:w="100"/>
              <w:bottom w:type="dxa" w:w="80"/>
              <w:right w:type="dxa" w:w="100"/>
            </w:tcMar>
          </w:tcPr>
          <w:p>
            <w:r>
              <w:rPr>
                <w:b w:val="false"/>
                <w:bCs w:val="false"/>
                <w:sz w:val="20"/>
                <w:szCs w:val="20"/>
              </w:rPr>
              <w:t xml:space="preserve">RDP (3389)</w:t>
            </w:r>
          </w:p>
        </w:tc>
        <w:tc>
          <w:tcPr>
            <w:tcW w:type="dxa" w:w="2600"/>
            <w:tcMar>
              <w:top w:type="dxa" w:w="80"/>
              <w:left w:type="dxa" w:w="100"/>
              <w:bottom w:type="dxa" w:w="80"/>
              <w:right w:type="dxa" w:w="100"/>
            </w:tcMar>
          </w:tcPr>
          <w:p>
            <w:r>
              <w:rPr>
                <w:b w:val="false"/>
                <w:bCs w:val="false"/>
                <w:sz w:val="20"/>
                <w:szCs w:val="20"/>
              </w:rPr>
              <w:t xml:space="preserve">Credential stuffing / reuse</w:t>
            </w:r>
          </w:p>
        </w:tc>
        <w:tc>
          <w:tcPr>
            <w:tcW w:type="dxa" w:w="2600"/>
            <w:tcMar>
              <w:top w:type="dxa" w:w="80"/>
              <w:left w:type="dxa" w:w="100"/>
              <w:bottom w:type="dxa" w:w="80"/>
              <w:right w:type="dxa" w:w="100"/>
            </w:tcMar>
          </w:tcPr>
          <w:p>
            <w:r>
              <w:rPr>
                <w:b w:val="false"/>
                <w:bCs w:val="false"/>
                <w:sz w:val="20"/>
                <w:szCs w:val="20"/>
              </w:rPr>
              <w:t xml:space="preserve">Offered security layer, NLA status</w:t>
            </w:r>
          </w:p>
        </w:tc>
        <w:tc>
          <w:tcPr>
            <w:tcW w:type="dxa" w:w="2660"/>
            <w:tcMar>
              <w:top w:type="dxa" w:w="80"/>
              <w:left w:type="dxa" w:w="100"/>
              <w:bottom w:type="dxa" w:w="80"/>
              <w:right w:type="dxa" w:w="100"/>
            </w:tcMar>
          </w:tcPr>
          <w:p>
            <w:r>
              <w:rPr>
                <w:b w:val="false"/>
                <w:bCs w:val="false"/>
                <w:sz w:val="20"/>
                <w:szCs w:val="20"/>
              </w:rPr>
              <w:t xml:space="preserve">BlueKeep-class pre-auth RCEs</w:t>
            </w:r>
          </w:p>
        </w:tc>
      </w:tr>
      <w:tr>
        <w:tc>
          <w:tcPr>
            <w:tcW w:type="dxa" w:w="1500"/>
            <w:shd w:fill="F3F4F6" w:val="clear"/>
            <w:tcMar>
              <w:top w:type="dxa" w:w="80"/>
              <w:left w:type="dxa" w:w="100"/>
              <w:bottom w:type="dxa" w:w="80"/>
              <w:right w:type="dxa" w:w="100"/>
            </w:tcMar>
          </w:tcPr>
          <w:p>
            <w:r>
              <w:rPr>
                <w:b w:val="false"/>
                <w:bCs w:val="false"/>
                <w:sz w:val="20"/>
                <w:szCs w:val="20"/>
              </w:rPr>
              <w:t xml:space="preserve">HTTP(S)</w:t>
            </w:r>
          </w:p>
        </w:tc>
        <w:tc>
          <w:tcPr>
            <w:tcW w:type="dxa" w:w="2600"/>
            <w:shd w:fill="F3F4F6" w:val="clear"/>
            <w:tcMar>
              <w:top w:type="dxa" w:w="80"/>
              <w:left w:type="dxa" w:w="100"/>
              <w:bottom w:type="dxa" w:w="80"/>
              <w:right w:type="dxa" w:w="100"/>
            </w:tcMar>
          </w:tcPr>
          <w:p>
            <w:r>
              <w:rPr>
                <w:b w:val="false"/>
                <w:bCs w:val="false"/>
                <w:sz w:val="20"/>
                <w:szCs w:val="20"/>
              </w:rPr>
              <w:t xml:space="preserve">Default admin creds on any panel found</w:t>
            </w:r>
          </w:p>
        </w:tc>
        <w:tc>
          <w:tcPr>
            <w:tcW w:type="dxa" w:w="2600"/>
            <w:shd w:fill="F3F4F6" w:val="clear"/>
            <w:tcMar>
              <w:top w:type="dxa" w:w="80"/>
              <w:left w:type="dxa" w:w="100"/>
              <w:bottom w:type="dxa" w:w="80"/>
              <w:right w:type="dxa" w:w="100"/>
            </w:tcMar>
          </w:tcPr>
          <w:p>
            <w:r>
              <w:rPr>
                <w:b w:val="false"/>
                <w:bCs w:val="false"/>
                <w:sz w:val="20"/>
                <w:szCs w:val="20"/>
              </w:rPr>
              <w:t xml:space="preserve">Tech fingerprint, directory/endpoint discovery</w:t>
            </w:r>
          </w:p>
        </w:tc>
        <w:tc>
          <w:tcPr>
            <w:tcW w:type="dxa" w:w="2660"/>
            <w:shd w:fill="F3F4F6" w:val="clear"/>
            <w:tcMar>
              <w:top w:type="dxa" w:w="80"/>
              <w:left w:type="dxa" w:w="100"/>
              <w:bottom w:type="dxa" w:w="80"/>
              <w:right w:type="dxa" w:w="100"/>
            </w:tcMar>
          </w:tcPr>
          <w:p>
            <w:r>
              <w:rPr>
                <w:b w:val="false"/>
                <w:bCs w:val="false"/>
                <w:sz w:val="20"/>
                <w:szCs w:val="20"/>
              </w:rPr>
              <w:t xml:space="preserve">Known-CMS / known-component CVEs</w:t>
            </w:r>
          </w:p>
        </w:tc>
      </w:tr>
      <w:tr>
        <w:tc>
          <w:tcPr>
            <w:tcW w:type="dxa" w:w="1500"/>
            <w:tcMar>
              <w:top w:type="dxa" w:w="80"/>
              <w:left w:type="dxa" w:w="100"/>
              <w:bottom w:type="dxa" w:w="80"/>
              <w:right w:type="dxa" w:w="100"/>
            </w:tcMar>
          </w:tcPr>
          <w:p>
            <w:r>
              <w:rPr>
                <w:b w:val="false"/>
                <w:bCs w:val="false"/>
                <w:sz w:val="20"/>
                <w:szCs w:val="20"/>
              </w:rPr>
              <w:t xml:space="preserve">Databases</w:t>
            </w:r>
          </w:p>
        </w:tc>
        <w:tc>
          <w:tcPr>
            <w:tcW w:type="dxa" w:w="2600"/>
            <w:tcMar>
              <w:top w:type="dxa" w:w="80"/>
              <w:left w:type="dxa" w:w="100"/>
              <w:bottom w:type="dxa" w:w="80"/>
              <w:right w:type="dxa" w:w="100"/>
            </w:tcMar>
          </w:tcPr>
          <w:p>
            <w:r>
              <w:rPr>
                <w:b w:val="false"/>
                <w:bCs w:val="false"/>
                <w:sz w:val="20"/>
                <w:szCs w:val="20"/>
              </w:rPr>
              <w:t xml:space="preserve">Default credentials</w:t>
            </w:r>
          </w:p>
        </w:tc>
        <w:tc>
          <w:tcPr>
            <w:tcW w:type="dxa" w:w="2600"/>
            <w:tcMar>
              <w:top w:type="dxa" w:w="80"/>
              <w:left w:type="dxa" w:w="100"/>
              <w:bottom w:type="dxa" w:w="80"/>
              <w:right w:type="dxa" w:w="100"/>
            </w:tcMar>
          </w:tcPr>
          <w:p>
            <w:r>
              <w:rPr>
                <w:b w:val="false"/>
                <w:bCs w:val="false"/>
                <w:sz w:val="20"/>
                <w:szCs w:val="20"/>
              </w:rPr>
              <w:t xml:space="preserve">Exposed management interfaces, schema listing</w:t>
            </w:r>
          </w:p>
        </w:tc>
        <w:tc>
          <w:tcPr>
            <w:tcW w:type="dxa" w:w="2660"/>
            <w:tcMar>
              <w:top w:type="dxa" w:w="80"/>
              <w:left w:type="dxa" w:w="100"/>
              <w:bottom w:type="dxa" w:w="80"/>
              <w:right w:type="dxa" w:w="100"/>
            </w:tcMar>
          </w:tcPr>
          <w:p>
            <w:r>
              <w:rPr>
                <w:b w:val="false"/>
                <w:bCs w:val="false"/>
                <w:sz w:val="20"/>
                <w:szCs w:val="20"/>
              </w:rPr>
              <w:t xml:space="preserve">Version-specific CVEs; injection (Section 4.5 validators)</w:t>
            </w:r>
          </w:p>
        </w:tc>
      </w:tr>
    </w:tbl>
    <w:p>
      <w:pPr>
        <w:spacing w:before="200"/>
      </w:pPr>
    </w:p>
    <w:p>
      <w:pPr>
        <w:spacing w:after="160" w:line="276"/>
      </w:pPr>
      <w:r>
        <w:rPr>
          <w:sz w:val="22"/>
          <w:szCs w:val="22"/>
        </w:rPr>
        <w:t xml:space="preserve">In the state schema (Section 4), this ordering is realized as node priority: when a nodes row of type service_enum is created for a newly fingerprinted service, its child nodes for the default-credential and misconfiguration checks should be seeded at higher priority than any CVE-path child node, so the reasoning core naturally works the cheap checks first without needing to be told to every time.</w:t>
      </w:r>
    </w:p>
    <w:p>
      <w:pPr>
        <w:pStyle w:val="Heading2"/>
        <w:spacing w:after="150" w:before="300"/>
      </w:pPr>
      <w:r>
        <w:t xml:space="preserve">5.2 Phase Gates: Explicit Done-Criteria</w:t>
      </w:r>
    </w:p>
    <w:p>
      <w:pPr>
        <w:spacing w:after="160" w:line="276"/>
      </w:pPr>
      <w:r>
        <w:rPr>
          <w:sz w:val="22"/>
          <w:szCs w:val="22"/>
        </w:rPr>
        <w:t xml:space="preserve">Section 4.2's targets.phase field (recon, enum, vuln, exploit, post, report) existed without a definition of what completes a phase. Left undefined, nothing stops the reasoning core from exploiting before enumeration is meaningfully complete, which is precisely the failure mode VAPT practitioners warn against. Each phase now has a concrete done-criterion Pluto's observation loop can check mechanically against the state tables, rather than trusting the reasoning core's own sense that it is ready to move on.</w:t>
      </w:r>
    </w:p>
    <w:p>
      <w:pPr>
        <w:pStyle w:val="ListParagraph"/>
        <w:numPr>
          <w:ilvl w:val="0"/>
          <w:numId w:val="1"/>
        </w:numPr>
        <w:spacing w:after="90" w:line="264"/>
      </w:pPr>
      <w:r>
        <w:t xml:space="preserve">Recon done: at least one pass of passive and active discovery recorded as attempts rows, with resulting hosts/services reflected as candidate rows in findings.</w:t>
      </w:r>
    </w:p>
    <w:p>
      <w:pPr>
        <w:pStyle w:val="ListParagraph"/>
        <w:numPr>
          <w:ilvl w:val="0"/>
          <w:numId w:val="1"/>
        </w:numPr>
        <w:spacing w:after="90" w:line="264"/>
      </w:pPr>
      <w:r>
        <w:t xml:space="preserve">Enum done: every findings row for the target has progressed past a bare port/service fingerprint to include a service-specific enumeration attempt (Section 5.1's 'then enumerate' column) recorded against it.</w:t>
      </w:r>
    </w:p>
    <w:p>
      <w:pPr>
        <w:pStyle w:val="ListParagraph"/>
        <w:numPr>
          <w:ilvl w:val="0"/>
          <w:numId w:val="1"/>
        </w:numPr>
        <w:spacing w:after="90" w:line="264"/>
      </w:pPr>
      <w:r>
        <w:t xml:space="preserve">Vuln (validation) done for a given finding: it has reached validated or rejected status via Gate 1 (Section 3.1) — never exploited while still candidate.</w:t>
      </w:r>
    </w:p>
    <w:p>
      <w:pPr>
        <w:pStyle w:val="ListParagraph"/>
        <w:numPr>
          <w:ilvl w:val="0"/>
          <w:numId w:val="1"/>
        </w:numPr>
        <w:spacing w:after="90" w:line="264"/>
      </w:pPr>
      <w:r>
        <w:t xml:space="preserve">Exploit done: a validated finding has an attempts row with outcome success, or all reasonably prioritized validated findings have been attempted without success.</w:t>
      </w:r>
    </w:p>
    <w:p>
      <w:pPr>
        <w:pStyle w:val="ListParagraph"/>
        <w:numPr>
          <w:ilvl w:val="0"/>
          <w:numId w:val="1"/>
        </w:numPr>
        <w:spacing w:after="90" w:line="264"/>
      </w:pPr>
      <w:r>
        <w:t xml:space="preserve">Post-exploit done: no further privilege-escalation or lateral-movement child nodes remain active under the access gained.</w:t>
      </w:r>
    </w:p>
    <w:p>
      <w:pPr>
        <w:pStyle w:val="ListParagraph"/>
        <w:numPr>
          <w:ilvl w:val="0"/>
          <w:numId w:val="1"/>
        </w:numPr>
        <w:spacing w:after="90" w:line="264"/>
      </w:pPr>
      <w:r>
        <w:t xml:space="preserve">Report done: submissions rows exist (Gate 2) for everything intended for external reporting, or an internal summary is produced for CTF-mode engagements that don't submit externally.</w:t>
      </w:r>
    </w:p>
    <w:p>
      <w:pPr>
        <w:spacing w:after="160" w:line="276"/>
      </w:pPr>
      <w:r>
        <w:rPr>
          <w:sz w:val="22"/>
          <w:szCs w:val="22"/>
        </w:rPr>
        <w:t xml:space="preserve">The stall detector (Layer 4, Section 2.4) is the natural enforcement point: if the reasoning core attempts to open exploit-phase nodes while enum-done is not satisfied for the target service, that is itself a stall-detector trigger, re-prompting with the specific gap rather than letting the phase field be advisory only.</w:t>
      </w:r>
    </w:p>
    <w:p>
      <w:pPr>
        <w:pStyle w:val="Heading2"/>
        <w:spacing w:after="150" w:before="300"/>
      </w:pPr>
      <w:r>
        <w:t xml:space="preserve">5.3 Rabbit-Hole Time-Boxing and the Fact Ledger</w:t>
      </w:r>
    </w:p>
    <w:p>
      <w:pPr>
        <w:spacing w:after="160" w:line="276"/>
      </w:pPr>
      <w:r>
        <w:rPr>
          <w:sz w:val="22"/>
          <w:szCs w:val="22"/>
        </w:rPr>
        <w:t xml:space="preserve">Experienced CTF players and pentesters separate what has been verified from what is merely suspected, and cap how long any single line of inquiry runs before forcing a pivot. Both disciplines were implicit in the tree design (Section 4.2) but not enforced. This section makes them explicit control logic rather than emergent behavior.</w:t>
      </w:r>
    </w:p>
    <w:p>
      <w:pPr>
        <w:pStyle w:val="ListParagraph"/>
        <w:numPr>
          <w:ilvl w:val="0"/>
          <w:numId w:val="1"/>
        </w:numPr>
        <w:spacing w:after="90" w:line="264"/>
      </w:pPr>
      <w:r>
        <w:rPr>
          <w:b/>
          <w:bCs/>
          <w:sz w:val="22"/>
          <w:szCs w:val="22"/>
        </w:rPr>
        <w:t xml:space="preserve">Effort budget per node: </w:t>
      </w:r>
      <w:r>
        <w:rPr>
          <w:sz w:val="22"/>
          <w:szCs w:val="22"/>
        </w:rPr>
        <w:t xml:space="preserve">each active node in the investigation tree accrues attempts against it. When a node exceeds a configurable budget (a count of failed attempts, or elapsed time) without producing a new child node or a status change, the observation loop automatically deprioritizes it and forces a re-enumeration or sibling-node pivot — the mechanical form of the human practice of moving on from a path after a fixed amount of time without progress.</w:t>
      </w:r>
    </w:p>
    <w:p>
      <w:pPr>
        <w:pStyle w:val="ListParagraph"/>
        <w:numPr>
          <w:ilvl w:val="0"/>
          <w:numId w:val="1"/>
        </w:numPr>
        <w:spacing w:after="90" w:line="264"/>
      </w:pPr>
      <w:r>
        <w:rPr>
          <w:b/>
          <w:bCs/>
          <w:sz w:val="22"/>
          <w:szCs w:val="22"/>
        </w:rPr>
        <w:t xml:space="preserve">The fact ledger is not a new table: </w:t>
      </w:r>
      <w:r>
        <w:rPr>
          <w:sz w:val="22"/>
          <w:szCs w:val="22"/>
        </w:rPr>
        <w:t xml:space="preserve">it is the existing status discipline read strictly. A row in findings with status candidate is speculation; validated is fact. The rule this section adds is behavioral, not structural — the reasoning core must not act on a candidate row as though it were validated, and any node whose rationale rests on an unvalidated finding should itself be tagged low-confidence until Gate 1 resolves it. This closes a gap between what the schema allows and what the reasoning core is disciplined to do with it.</w:t>
      </w:r>
    </w:p>
    <w:p>
      <w:pPr>
        <w:spacing w:after="160" w:line="276"/>
      </w:pPr>
      <w:r>
        <w:rPr>
          <w:sz w:val="22"/>
          <w:szCs w:val="22"/>
        </w:rPr>
        <w:t xml:space="preserve">Both mechanisms exist to protect the same thing: that a long engagement doesn't quietly drift into tunnel vision on one plausible-looking path while the tree stops growing elsewhere.</w:t>
      </w:r>
    </w:p>
    <w:p>
      <w:pPr>
        <w:pStyle w:val="Heading2"/>
        <w:spacing w:after="150" w:before="300"/>
      </w:pPr>
      <w:r>
        <w:t xml:space="preserve">5.4 MITRE ATT&amp;CK as the Internal Action Vocabulary</w:t>
      </w:r>
    </w:p>
    <w:p>
      <w:pPr>
        <w:spacing w:after="160" w:line="276"/>
      </w:pPr>
      <w:r>
        <w:rPr>
          <w:sz w:val="22"/>
          <w:szCs w:val="22"/>
        </w:rPr>
        <w:t xml:space="preserve">Earlier sections describe MITRE ATT&amp;CK only as background context. This section formally adopts it as Pluto's internal tagging scheme: every row written to attempts (Section 4.3) should carry an ATT&amp;CK tactic and, where applicable, technique ID alongside its tool and command. This costs little to add to the schema (a tactic and technique column on attempts) and pays off twice — it gives the self-learned knowledge base tier (Section 2.5) a standardized vocabulary to index past attempts by, rather than free-text tool names, and it makes Pluto's own behavior auditable in the same terms a human reviewer already thinks in.</w:t>
      </w:r>
    </w:p>
    <w:p>
      <w:r>
        <w:br w:type="page"/>
      </w:r>
    </w:p>
    <w:p>
      <w:pPr>
        <w:pStyle w:val="Heading1"/>
        <w:spacing w:after="200" w:before="400"/>
      </w:pPr>
      <w:r>
        <w:t xml:space="preserve">6. Base Harness Decision: Pi (pi.dev)</w:t>
      </w:r>
    </w:p>
    <w:p>
      <w:pPr>
        <w:pStyle w:val="Heading2"/>
        <w:spacing w:after="150" w:before="300"/>
      </w:pPr>
      <w:r>
        <w:t xml:space="preserve">6.1 Decision</w:t>
      </w:r>
    </w:p>
    <w:p>
      <w:pPr>
        <w:spacing w:after="160" w:line="276"/>
      </w:pPr>
      <w:r>
        <w:rPr>
          <w:b/>
          <w:bCs/>
          <w:sz w:val="22"/>
          <w:szCs w:val="22"/>
        </w:rPr>
        <w:t xml:space="preserve">Decision: </w:t>
      </w:r>
      <w:r>
        <w:rPr>
          <w:sz w:val="22"/>
          <w:szCs w:val="22"/>
        </w:rPr>
        <w:t xml:space="preserve">Pluto will be built by forking and extending Pi (pi.dev), a minimal, extensible terminal coding agent, rather than adopting Hermes Agent (Nous Research) or building the agent harness from scratch.</w:t>
      </w:r>
    </w:p>
    <w:p>
      <w:pPr>
        <w:pStyle w:val="Heading2"/>
        <w:spacing w:after="150" w:before="300"/>
      </w:pPr>
      <w:r>
        <w:t xml:space="preserve">6.2 Options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shd w:fill="1F2937" w:val="clear"/>
            <w:tcMar>
              <w:top w:type="dxa" w:w="80"/>
              <w:left w:type="dxa" w:w="100"/>
              <w:bottom w:type="dxa" w:w="80"/>
              <w:right w:type="dxa" w:w="100"/>
            </w:tcMar>
          </w:tcPr>
          <w:p>
            <w:r>
              <w:rPr>
                <w:b/>
                <w:bCs/>
                <w:color w:val="FFFFFF"/>
                <w:sz w:val="20"/>
                <w:szCs w:val="20"/>
              </w:rPr>
              <w:t xml:space="preserve">Option</w:t>
            </w:r>
          </w:p>
        </w:tc>
        <w:tc>
          <w:tcPr>
            <w:tcW w:type="dxa" w:w="3700"/>
            <w:shd w:fill="1F2937" w:val="clear"/>
            <w:tcMar>
              <w:top w:type="dxa" w:w="80"/>
              <w:left w:type="dxa" w:w="100"/>
              <w:bottom w:type="dxa" w:w="80"/>
              <w:right w:type="dxa" w:w="100"/>
            </w:tcMar>
          </w:tcPr>
          <w:p>
            <w:r>
              <w:rPr>
                <w:b/>
                <w:bCs/>
                <w:color w:val="FFFFFF"/>
                <w:sz w:val="20"/>
                <w:szCs w:val="20"/>
              </w:rPr>
              <w:t xml:space="preserve">Advantages</w:t>
            </w:r>
          </w:p>
        </w:tc>
        <w:tc>
          <w:tcPr>
            <w:tcW w:type="dxa" w:w="3760"/>
            <w:shd w:fill="1F2937" w:val="clear"/>
            <w:tcMar>
              <w:top w:type="dxa" w:w="80"/>
              <w:left w:type="dxa" w:w="100"/>
              <w:bottom w:type="dxa" w:w="80"/>
              <w:right w:type="dxa" w:w="100"/>
            </w:tcMar>
          </w:tcPr>
          <w:p>
            <w:r>
              <w:rPr>
                <w:b/>
                <w:bCs/>
                <w:color w:val="FFFFFF"/>
                <w:sz w:val="20"/>
                <w:szCs w:val="20"/>
              </w:rPr>
              <w:t xml:space="preserve">Drawbacks</w:t>
            </w:r>
          </w:p>
        </w:tc>
      </w:tr>
      <w:tr>
        <w:tc>
          <w:tcPr>
            <w:tcW w:type="dxa" w:w="1900"/>
            <w:tcMar>
              <w:top w:type="dxa" w:w="80"/>
              <w:left w:type="dxa" w:w="100"/>
              <w:bottom w:type="dxa" w:w="80"/>
              <w:right w:type="dxa" w:w="100"/>
            </w:tcMar>
          </w:tcPr>
          <w:p>
            <w:r>
              <w:rPr>
                <w:b w:val="false"/>
                <w:bCs w:val="false"/>
                <w:sz w:val="20"/>
                <w:szCs w:val="20"/>
              </w:rPr>
              <w:t xml:space="preserve">Fork Pi (pi.dev)</w:t>
            </w:r>
          </w:p>
        </w:tc>
        <w:tc>
          <w:tcPr>
            <w:tcW w:type="dxa" w:w="3700"/>
            <w:tcMar>
              <w:top w:type="dxa" w:w="80"/>
              <w:left w:type="dxa" w:w="100"/>
              <w:bottom w:type="dxa" w:w="80"/>
              <w:right w:type="dxa" w:w="100"/>
            </w:tcMar>
          </w:tcPr>
          <w:p>
            <w:r>
              <w:rPr>
                <w:b w:val="false"/>
                <w:bCs w:val="false"/>
                <w:sz w:val="20"/>
                <w:szCs w:val="20"/>
              </w:rPr>
              <w:t xml:space="preserve">Skips weeks of scaffolding work (terminal interaction, session handling, core agent loop, tool-calling plumbing). Core reasoning-to-action loop is already battle-tested as a coding agent. Minimal and extensible by design, so there are fewer opinionated abstractions to fight compared to heavier frameworks.</w:t>
            </w:r>
          </w:p>
        </w:tc>
        <w:tc>
          <w:tcPr>
            <w:tcW w:type="dxa" w:w="3760"/>
            <w:tcMar>
              <w:top w:type="dxa" w:w="80"/>
              <w:left w:type="dxa" w:w="100"/>
              <w:bottom w:type="dxa" w:w="80"/>
              <w:right w:type="dxa" w:w="100"/>
            </w:tcMar>
          </w:tcPr>
          <w:p>
            <w:r>
              <w:rPr>
                <w:b w:val="false"/>
                <w:bCs w:val="false"/>
                <w:sz w:val="20"/>
                <w:szCs w:val="20"/>
              </w:rPr>
              <w:t xml:space="preserve">Inherits Pi's coding-agent assumptions — context management and multi-step planning were built for editing codebases, not per-target state tracking or multi-stage engagements. May require heavily modifying the base.</w:t>
            </w:r>
          </w:p>
        </w:tc>
      </w:tr>
      <w:tr>
        <w:tc>
          <w:tcPr>
            <w:tcW w:type="dxa" w:w="1900"/>
            <w:shd w:fill="F3F4F6" w:val="clear"/>
            <w:tcMar>
              <w:top w:type="dxa" w:w="80"/>
              <w:left w:type="dxa" w:w="100"/>
              <w:bottom w:type="dxa" w:w="80"/>
              <w:right w:type="dxa" w:w="100"/>
            </w:tcMar>
          </w:tcPr>
          <w:p>
            <w:r>
              <w:rPr>
                <w:b w:val="false"/>
                <w:bCs w:val="false"/>
                <w:sz w:val="20"/>
                <w:szCs w:val="20"/>
              </w:rPr>
              <w:t xml:space="preserve">Build from scratch</w:t>
            </w:r>
          </w:p>
        </w:tc>
        <w:tc>
          <w:tcPr>
            <w:tcW w:type="dxa" w:w="3700"/>
            <w:shd w:fill="F3F4F6" w:val="clear"/>
            <w:tcMar>
              <w:top w:type="dxa" w:w="80"/>
              <w:left w:type="dxa" w:w="100"/>
              <w:bottom w:type="dxa" w:w="80"/>
              <w:right w:type="dxa" w:w="100"/>
            </w:tcMar>
          </w:tcPr>
          <w:p>
            <w:r>
              <w:rPr>
                <w:b w:val="false"/>
                <w:bCs w:val="false"/>
                <w:sz w:val="20"/>
                <w:szCs w:val="20"/>
              </w:rPr>
              <w:t xml:space="preserve">Full control over the agent loop. No fighting another project's assumptions. Can design specifically around per-target state and multi-stage engagements from day one.</w:t>
            </w:r>
          </w:p>
        </w:tc>
        <w:tc>
          <w:tcPr>
            <w:tcW w:type="dxa" w:w="3760"/>
            <w:shd w:fill="F3F4F6" w:val="clear"/>
            <w:tcMar>
              <w:top w:type="dxa" w:w="80"/>
              <w:left w:type="dxa" w:w="100"/>
              <w:bottom w:type="dxa" w:w="80"/>
              <w:right w:type="dxa" w:w="100"/>
            </w:tcMar>
          </w:tcPr>
          <w:p>
            <w:r>
              <w:rPr>
                <w:b w:val="false"/>
                <w:bCs w:val="false"/>
                <w:sz w:val="20"/>
                <w:szCs w:val="20"/>
              </w:rPr>
              <w:t xml:space="preserve">Real, significant cost: rebuilding session management, tool orchestration, and the reasoning loop from zero — exactly the undifferentiated work that delays getting to an actual CTF benchmark.</w:t>
            </w:r>
          </w:p>
        </w:tc>
      </w:tr>
      <w:tr>
        <w:tc>
          <w:tcPr>
            <w:tcW w:type="dxa" w:w="1900"/>
            <w:tcMar>
              <w:top w:type="dxa" w:w="80"/>
              <w:left w:type="dxa" w:w="100"/>
              <w:bottom w:type="dxa" w:w="80"/>
              <w:right w:type="dxa" w:w="100"/>
            </w:tcMar>
          </w:tcPr>
          <w:p>
            <w:r>
              <w:rPr>
                <w:b w:val="false"/>
                <w:bCs w:val="false"/>
                <w:sz w:val="20"/>
                <w:szCs w:val="20"/>
              </w:rPr>
              <w:t xml:space="preserve">Hermes Agent (Nous Research)</w:t>
            </w:r>
          </w:p>
        </w:tc>
        <w:tc>
          <w:tcPr>
            <w:tcW w:type="dxa" w:w="3700"/>
            <w:tcMar>
              <w:top w:type="dxa" w:w="80"/>
              <w:left w:type="dxa" w:w="100"/>
              <w:bottom w:type="dxa" w:w="80"/>
              <w:right w:type="dxa" w:w="100"/>
            </w:tcMar>
          </w:tcPr>
          <w:p>
            <w:r>
              <w:rPr>
                <w:b w:val="false"/>
                <w:bCs w:val="false"/>
                <w:sz w:val="20"/>
                <w:szCs w:val="20"/>
              </w:rPr>
              <w:t xml:space="preserve">Considered as an alternative base harness.</w:t>
            </w:r>
          </w:p>
        </w:tc>
        <w:tc>
          <w:tcPr>
            <w:tcW w:type="dxa" w:w="3760"/>
            <w:tcMar>
              <w:top w:type="dxa" w:w="80"/>
              <w:left w:type="dxa" w:w="100"/>
              <w:bottom w:type="dxa" w:w="80"/>
              <w:right w:type="dxa" w:w="100"/>
            </w:tcMar>
          </w:tcPr>
          <w:p>
            <w:r>
              <w:rPr>
                <w:b w:val="false"/>
                <w:bCs w:val="false"/>
                <w:sz w:val="20"/>
                <w:szCs w:val="20"/>
              </w:rPr>
              <w:t xml:space="preserve">Ruled out in favor of Pi; not pursued further once Pi was identified as the better fit.</w:t>
            </w:r>
          </w:p>
        </w:tc>
      </w:tr>
    </w:tbl>
    <w:p>
      <w:pPr>
        <w:spacing w:before="200"/>
      </w:pPr>
    </w:p>
    <w:p>
      <w:pPr>
        <w:pStyle w:val="Heading2"/>
        <w:spacing w:after="150" w:before="300"/>
      </w:pPr>
      <w:r>
        <w:t xml:space="preserve">6.3 Rationale</w:t>
      </w:r>
    </w:p>
    <w:p>
      <w:pPr>
        <w:spacing w:after="160" w:line="276"/>
      </w:pPr>
      <w:r>
        <w:rPr>
          <w:sz w:val="22"/>
          <w:szCs w:val="22"/>
        </w:rPr>
        <w:t xml:space="preserve">Given the goal of reaching a working benchmark against HackTheBox-style challenges relatively soon, forking Pi and aggressively modifying its state and memory layer — the part most specific to security work, and the part Section 4 now specifies concretely — carries materially less execution risk than building the agentic scaffolding from zero. Building from scratch would mean testing an untested agentic harness at the same time as testing Pluto's actual security capability, which compounds risk unnecessarily. Extending a working foundation lets us isolate what we're actually validating.</w:t>
      </w:r>
    </w:p>
    <w:p>
      <w:pPr>
        <w:pStyle w:val="Heading2"/>
        <w:spacing w:after="150" w:before="300"/>
      </w:pPr>
      <w:r>
        <w:t xml:space="preserve">6.4 Agent Delegation, Resolved: A Custom Handoff Extension Modeled on CAI</w:t>
      </w:r>
    </w:p>
    <w:p>
      <w:pPr>
        <w:spacing w:after="160" w:line="276"/>
      </w:pPr>
      <w:r>
        <w:rPr>
          <w:sz w:val="22"/>
          <w:szCs w:val="22"/>
        </w:rPr>
        <w:t xml:space="preserve">Pi does not include native sub-agents. This is a deliberate omission in the base harness, not a gap Pluto happens to have found — third-party extensions built for Pi confirm it by bundling their own delegation mechanism, which works by spawning a separate Pi process per delegation, each with its own isolated context window, precisely because vanilla Pi has no built-in equivalent. Any agent-handoff capability for Pluto has to be built as a custom Pi extension, the same conclusion already reached for the vision pipeline (Section 2.3.1).</w:t>
      </w:r>
    </w:p>
    <w:p>
      <w:pPr>
        <w:spacing w:after="160" w:line="276"/>
      </w:pPr>
      <w:r>
        <w:rPr>
          <w:sz w:val="22"/>
          <w:szCs w:val="22"/>
        </w:rPr>
        <w:t xml:space="preserve">CAI (Alias Robotics) is the reference design for what that extension should support, and it offers two distinct delegation modes worth carrying over rather than one: a full handoff, where a specialized sub-agent is invoked and control of the flow passes to it, and the lighter agent-as-tool pattern, where a lead agent consults a specialist and gets an answer back without transferring control — the lead keeps the overall view of the engagement throughout.</w:t>
      </w:r>
    </w:p>
    <w:p>
      <w:pPr>
        <w:spacing w:after="160" w:line="276"/>
      </w:pPr>
      <w:r>
        <w:rPr>
          <w:sz w:val="22"/>
          <w:szCs w:val="22"/>
        </w:rPr>
        <w:t xml:space="preserve">Pluto adopts both modes rather than picking one, matched to the two situations that actually come up during an engagement:</w:t>
      </w:r>
    </w:p>
    <w:p>
      <w:pPr>
        <w:pStyle w:val="ListParagraph"/>
        <w:numPr>
          <w:ilvl w:val="0"/>
          <w:numId w:val="1"/>
        </w:numPr>
        <w:spacing w:after="90" w:line="264"/>
      </w:pPr>
      <w:r>
        <w:rPr>
          <w:b/>
          <w:bCs/>
          <w:sz w:val="22"/>
          <w:szCs w:val="22"/>
        </w:rPr>
        <w:t xml:space="preserve">Full handoff: </w:t>
      </w:r>
      <w:r>
        <w:rPr>
          <w:sz w:val="22"/>
          <w:szCs w:val="22"/>
        </w:rPr>
        <w:t xml:space="preserve">appropriate when a specialized sub-agent should own a self-contained sub-task end-to-end — for example, a dedicated exploitation specialist taking over a validated finding through to a working proof of concept (Section 2.3.2), reporting back only once that sub-task concludes.</w:t>
      </w:r>
    </w:p>
    <w:p>
      <w:pPr>
        <w:pStyle w:val="ListParagraph"/>
        <w:numPr>
          <w:ilvl w:val="0"/>
          <w:numId w:val="1"/>
        </w:numPr>
        <w:spacing w:after="90" w:line="264"/>
      </w:pPr>
      <w:r>
        <w:rPr>
          <w:b/>
          <w:bCs/>
          <w:sz w:val="22"/>
          <w:szCs w:val="22"/>
        </w:rPr>
        <w:t xml:space="preserve">Agent-as-tool: </w:t>
      </w:r>
      <w:r>
        <w:rPr>
          <w:sz w:val="22"/>
          <w:szCs w:val="22"/>
        </w:rPr>
        <w:t xml:space="preserve">appropriate for a quick, bounded consultation where the main reasoning core should remain in charge of the engagement — for example, querying a specialist for a CVE technical breakdown or a KB lookup (Section 6) without ceding control of the investigation tree.</w:t>
      </w:r>
    </w:p>
    <w:p>
      <w:pPr>
        <w:spacing w:after="160" w:line="276"/>
      </w:pPr>
      <w:r>
        <w:rPr>
          <w:sz w:val="22"/>
          <w:szCs w:val="22"/>
        </w:rPr>
        <w:t xml:space="preserve">Each delegation, in either mode, should be logged the same way any tool invocation is (Section 2.3) — which sub-agent was invoked, in which mode, and what it returned — so a handoff is auditable in the same terms as everything else Pluto does, consistent with CAI's own tracing pillar.</w:t>
      </w:r>
    </w:p>
    <w:p>
      <w:pPr>
        <w:pStyle w:val="Heading2"/>
        <w:spacing w:after="150" w:before="300"/>
      </w:pPr>
      <w:r>
        <w:t xml:space="preserve">6.5 Skills — A Layer Distinct from the Knowledge Base</w:t>
      </w:r>
    </w:p>
    <w:p>
      <w:pPr>
        <w:spacing w:after="160" w:line="276"/>
      </w:pPr>
      <w:r>
        <w:rPr>
          <w:sz w:val="22"/>
          <w:szCs w:val="22"/>
        </w:rPr>
        <w:t xml:space="preserve">Researching how comparable harnesses package agent expertise surfaced a distinction worth adopting explicitly: what several frameworks call a skill is not the same thing as what Pluto calls the knowledge base, even though both feed the reasoning core structured expertise. Strix, for example, ships skills as individual Markdown files with YAML frontmatter — one per vulnerability class or technology, covering attack surface, methodology, techniques, bypass methods, and validation — auto-selecting a handful of relevant skills per task. CyberStrike takes the same concept further, with a large signed skill library loaded progressively on demand.</w:t>
      </w:r>
    </w:p>
    <w:p>
      <w:pPr>
        <w:spacing w:after="160" w:line="276"/>
      </w:pPr>
      <w:r>
        <w:rPr>
          <w:sz w:val="22"/>
          <w:szCs w:val="22"/>
        </w:rPr>
        <w:t xml:space="preserve">The distinction that matters for Pluto is not the file format, it is what each layer represents:</w:t>
      </w:r>
    </w:p>
    <w:p>
      <w:pPr>
        <w:pStyle w:val="ListParagraph"/>
        <w:numPr>
          <w:ilvl w:val="0"/>
          <w:numId w:val="1"/>
        </w:numPr>
        <w:spacing w:after="90" w:line="264"/>
      </w:pPr>
      <w:r>
        <w:rPr>
          <w:b/>
          <w:bCs/>
          <w:sz w:val="22"/>
          <w:szCs w:val="22"/>
        </w:rPr>
        <w:t xml:space="preserve">Knowledge base (Section 6): </w:t>
      </w:r>
      <w:r>
        <w:rPr>
          <w:sz w:val="22"/>
          <w:szCs w:val="22"/>
        </w:rPr>
        <w:t xml:space="preserve">data. Seeded CVEs, public exploits, and self-learned situation-to-technique records distilled from Pluto's own solved engagements. This layer is expected to keep growing automatically as Pluto encounters more targets, and answers the question "what do we know about this kind of target or CVE."</w:t>
      </w:r>
    </w:p>
    <w:p>
      <w:pPr>
        <w:pStyle w:val="ListParagraph"/>
        <w:numPr>
          <w:ilvl w:val="0"/>
          <w:numId w:val="1"/>
        </w:numPr>
        <w:spacing w:after="90" w:line="264"/>
      </w:pPr>
      <w:r>
        <w:rPr>
          <w:b/>
          <w:bCs/>
          <w:sz w:val="22"/>
          <w:szCs w:val="22"/>
        </w:rPr>
        <w:t xml:space="preserve">Skills: </w:t>
      </w:r>
      <w:r>
        <w:rPr>
          <w:sz w:val="22"/>
          <w:szCs w:val="22"/>
        </w:rPr>
        <w:t xml:space="preserve">doctrine. Static, hand-authored methodology and procedure definitions describing how the agent should behave and test for a given vulnerability class or technology — closer to a role definition and operating procedure than a fact lookup. Skills are verified once and only revised if the methodology itself turns out to need correcting; they do not evolve automatically the way the self-learned knowledge base tier does. A skill answers the question "how should the agent operate in this kind of task."</w:t>
      </w:r>
    </w:p>
    <w:p>
      <w:pPr>
        <w:spacing w:after="160" w:line="276"/>
      </w:pPr>
      <w:r>
        <w:rPr>
          <w:sz w:val="22"/>
          <w:szCs w:val="22"/>
        </w:rPr>
        <w:t xml:space="preserve">This keeps the two mechanisms separate rather than merging them into one store: a knowledge base hit tells Pluto a relevant fact about the current target; a skill configures how the agent approaches an entire class of task, including the verifiable-step methodology referenced in Section 3.5.</w:t>
      </w:r>
    </w:p>
    <w:p>
      <w:pPr>
        <w:pStyle w:val="Heading3"/>
        <w:spacing w:after="100" w:before="200"/>
      </w:pPr>
      <w:r>
        <w:t xml:space="preserve">6.5.1 Skill Catalog</w:t>
      </w:r>
    </w:p>
    <w:p>
      <w:pPr>
        <w:spacing w:after="160" w:line="276"/>
      </w:pPr>
      <w:r>
        <w:rPr>
          <w:sz w:val="22"/>
          <w:szCs w:val="22"/>
        </w:rPr>
        <w:t xml:space="preserve">Given that HackTheBox-style boxes are unpredictable in what they require — a box may hinge on a web vulnerability, a misconfigured network service, an Active Directory chain, or a container escape — the skill catalog is built out in full from the outset rather than phased in. Modeled on the category structure comparable frameworks use, scoped to what Pluto's initial CTF and web bug-bounty targets actually require:</w:t>
      </w:r>
    </w:p>
    <w:p>
      <w:pPr>
        <w:pStyle w:val="ListParagraph"/>
        <w:numPr>
          <w:ilvl w:val="0"/>
          <w:numId w:val="1"/>
        </w:numPr>
        <w:spacing w:after="90" w:line="264"/>
      </w:pPr>
      <w:r>
        <w:rPr>
          <w:b/>
          <w:bCs/>
          <w:sz w:val="22"/>
          <w:szCs w:val="22"/>
        </w:rPr>
        <w:t xml:space="preserve">Vulnerabilities: </w:t>
      </w:r>
      <w:r>
        <w:rPr>
          <w:sz w:val="22"/>
          <w:szCs w:val="22"/>
        </w:rPr>
        <w:t xml:space="preserve">one skill per core vulnerability class — SQL injection, cross-site scripting, IDOR and broken access control, SSRF, remote code execution and command injection, XXE, insecure deserialization, authentication and session flaws, and host-level privilege escalation. This set lines up with the Gate 1 validator classes already scoped in Section 4.6.1.</w:t>
      </w:r>
    </w:p>
    <w:p>
      <w:pPr>
        <w:pStyle w:val="ListParagraph"/>
        <w:numPr>
          <w:ilvl w:val="0"/>
          <w:numId w:val="1"/>
        </w:numPr>
        <w:spacing w:after="90" w:line="264"/>
      </w:pPr>
      <w:r>
        <w:rPr>
          <w:b/>
          <w:bCs/>
          <w:sz w:val="22"/>
          <w:szCs w:val="22"/>
        </w:rPr>
        <w:t xml:space="preserve">Frameworks: </w:t>
      </w:r>
      <w:r>
        <w:rPr>
          <w:sz w:val="22"/>
          <w:szCs w:val="22"/>
        </w:rPr>
        <w:t xml:space="preserve">technology-specific testing patterns for the stacks most common in CTF web challenges — WordPress, common PHP stacks, Django/Flask, and Node/Express.</w:t>
      </w:r>
    </w:p>
    <w:p>
      <w:pPr>
        <w:pStyle w:val="ListParagraph"/>
        <w:numPr>
          <w:ilvl w:val="0"/>
          <w:numId w:val="1"/>
        </w:numPr>
        <w:spacing w:after="90" w:line="264"/>
      </w:pPr>
      <w:r>
        <w:rPr>
          <w:b/>
          <w:bCs/>
          <w:sz w:val="22"/>
          <w:szCs w:val="22"/>
        </w:rPr>
        <w:t xml:space="preserve">Protocols: </w:t>
      </w:r>
      <w:r>
        <w:rPr>
          <w:sz w:val="22"/>
          <w:szCs w:val="22"/>
        </w:rPr>
        <w:t xml:space="preserve">network service testing patterns — SMB, FTP, SSH, and general service enumeration — since many HackTheBox boxes turn on a misconfigured service rather than a web vulnerability at all.</w:t>
      </w:r>
    </w:p>
    <w:p>
      <w:pPr>
        <w:pStyle w:val="ListParagraph"/>
        <w:numPr>
          <w:ilvl w:val="0"/>
          <w:numId w:val="1"/>
        </w:numPr>
        <w:spacing w:after="90" w:line="264"/>
      </w:pPr>
      <w:r>
        <w:rPr>
          <w:b/>
          <w:bCs/>
          <w:sz w:val="22"/>
          <w:szCs w:val="22"/>
        </w:rPr>
        <w:t xml:space="preserve">Platforms: </w:t>
      </w:r>
      <w:r>
        <w:rPr>
          <w:sz w:val="22"/>
          <w:szCs w:val="22"/>
        </w:rPr>
        <w:t xml:space="preserve">Active Directory attack chains and container/Docker escape patterns, both common in harder HackTheBox boxes.</w:t>
      </w:r>
    </w:p>
    <w:p>
      <w:pPr>
        <w:pStyle w:val="ListParagraph"/>
        <w:numPr>
          <w:ilvl w:val="0"/>
          <w:numId w:val="1"/>
        </w:numPr>
        <w:spacing w:after="90" w:line="264"/>
      </w:pPr>
      <w:r>
        <w:rPr>
          <w:b/>
          <w:bCs/>
          <w:sz w:val="22"/>
          <w:szCs w:val="22"/>
        </w:rPr>
        <w:t xml:space="preserve">Tooling playbooks: </w:t>
      </w:r>
      <w:r>
        <w:rPr>
          <w:sz w:val="22"/>
          <w:szCs w:val="22"/>
        </w:rPr>
        <w:t xml:space="preserve">command-line usage patterns for driving nmap, sqlmap, ffuf, and Metasploit effectively — the operational how-to for the common tool core (Section 6), distinct from the vulnerability logic itself.</w:t>
      </w:r>
    </w:p>
    <w:p>
      <w:pPr>
        <w:pStyle w:val="Heading3"/>
        <w:spacing w:after="100" w:before="200"/>
      </w:pPr>
      <w:r>
        <w:t xml:space="preserve">6.5.2 Bypass and Evasion, Required in Every Skill</w:t>
      </w:r>
    </w:p>
    <w:p>
      <w:pPr>
        <w:spacing w:after="160" w:line="276"/>
      </w:pPr>
      <w:r>
        <w:rPr>
          <w:sz w:val="22"/>
          <w:szCs w:val="22"/>
        </w:rPr>
        <w:t xml:space="preserve">Real targets are defended. HackTheBox boxes and bug bounty programs alike put active protections in front of the vulnerabilities Pluto is looking for — WAFs, rate limiting, input sanitization, CAPTCHAs — and a harness that retreats the first time it hits one of these is not simulating a real attacker, it is simulating someone who stops at the first speed bump. XBOW's own field results make the value concrete: when a WAF signature was deployed against a vulnerability XBOW had already reported, its re-test did not just confirm the fix — it treated the new mitigation as a fresh sub-problem, and within minutes produced a new working exploit that bypassed the signature.</w:t>
      </w:r>
    </w:p>
    <w:p>
      <w:pPr>
        <w:spacing w:after="160" w:line="276"/>
      </w:pPr>
      <w:r>
        <w:rPr>
          <w:sz w:val="22"/>
          <w:szCs w:val="22"/>
        </w:rPr>
        <w:t xml:space="preserve">Accordingly, every skill in the catalog (Section 6.5.1) must include bypass and evasion techniques as a required section, on equal footing with methodology, techniques, and validation — mirroring how Strix structures its own skill files (attack surface, methodology, techniques, bypass methods, validation). A protection blocking an attempt is treated as a sub-problem to solve and route around, not a dead end that ends the attack path. Concretely: the SQL injection skill carries WAF-specific evasion patterns for that vulnerability class (encoding, tamper-style payload mutation, parser discrepancies); the authentication and session-flaws skill carries rate-limit and CAPTCHA bypass patterns; and so on per vulnerability class, rather than treating evasion as one generic, separate concern bolted on afterward.</w:t>
      </w:r>
    </w:p>
    <w:p>
      <w:r>
        <w:br w:type="page"/>
      </w:r>
    </w:p>
    <w:p>
      <w:pPr>
        <w:pStyle w:val="Heading1"/>
        <w:spacing w:after="200" w:before="400"/>
      </w:pPr>
      <w:r>
        <w:t xml:space="preserve">7. Grounding in Real-World VAPT Methodology</w:t>
      </w:r>
    </w:p>
    <w:p>
      <w:pPr>
        <w:spacing w:after="160" w:line="276"/>
      </w:pPr>
      <w:r>
        <w:rPr>
          <w:sz w:val="22"/>
          <w:szCs w:val="22"/>
        </w:rPr>
        <w:t xml:space="preserve">Before finalizing the state model and the gates, we studied how real-world vulnerability assessment and penetration testing (VAPT) is actually conducted by human practitioners and how the industry frameworks structure it. The goal was to make sure Pluto's design reflects real methodology rather than an idealized loop. This section summarizes the findings that bear directly on Pluto's architecture.</w:t>
      </w:r>
    </w:p>
    <w:p>
      <w:pPr>
        <w:pStyle w:val="Heading2"/>
        <w:spacing w:after="150" w:before="300"/>
      </w:pPr>
      <w:r>
        <w:t xml:space="preserve">7.1 The Phase Structure</w:t>
      </w:r>
    </w:p>
    <w:p>
      <w:pPr>
        <w:spacing w:after="160" w:line="276"/>
      </w:pPr>
      <w:r>
        <w:rPr>
          <w:sz w:val="22"/>
          <w:szCs w:val="22"/>
        </w:rPr>
        <w:t xml:space="preserve">Professional VAPT proceeds through recognizable phases: reconnaissance, scanning and enumeration, vulnerability analysis and confirmation, exploitation, post-exploitation, and reporting. The phases are not strictly linear — testers loop back constantly — but they form a scaffold. Pluto's targets.phase field (Section 4.2) and the node types in the investigation tree are drawn directly from this structure, so Pluto's state reflects where in the methodology any given line of inquiry sits.</w:t>
      </w:r>
    </w:p>
    <w:p>
      <w:pPr>
        <w:pStyle w:val="ListParagraph"/>
        <w:numPr>
          <w:ilvl w:val="0"/>
          <w:numId w:val="1"/>
        </w:numPr>
        <w:spacing w:after="90" w:line="264"/>
      </w:pPr>
      <w:r>
        <w:t xml:space="preserve">Reconnaissance and enumeration establish the attack surface; this is where the bulk of Pluto's early tree growth happens.</w:t>
      </w:r>
    </w:p>
    <w:p>
      <w:pPr>
        <w:pStyle w:val="ListParagraph"/>
        <w:numPr>
          <w:ilvl w:val="0"/>
          <w:numId w:val="1"/>
        </w:numPr>
        <w:spacing w:after="90" w:line="264"/>
      </w:pPr>
      <w:r>
        <w:t xml:space="preserve">Vulnerability analysis and confirmation is the phase the two-gate model's Gate 1 formalizes: a scanner's hypothesis is not a finding until it is confirmed.</w:t>
      </w:r>
    </w:p>
    <w:p>
      <w:pPr>
        <w:pStyle w:val="ListParagraph"/>
        <w:numPr>
          <w:ilvl w:val="0"/>
          <w:numId w:val="1"/>
        </w:numPr>
        <w:spacing w:after="90" w:line="264"/>
      </w:pPr>
      <w:r>
        <w:t xml:space="preserve">Exploitation and post-exploitation are where attack-path chaining (Section 7.3) matters most.</w:t>
      </w:r>
    </w:p>
    <w:p>
      <w:pPr>
        <w:pStyle w:val="Heading2"/>
        <w:spacing w:after="150" w:before="300"/>
      </w:pPr>
      <w:r>
        <w:t xml:space="preserve">7.2 The Confirmation Discipline (why Gate 1 exists)</w:t>
      </w:r>
    </w:p>
    <w:p>
      <w:pPr>
        <w:spacing w:after="160" w:line="276"/>
      </w:pPr>
      <w:r>
        <w:rPr>
          <w:sz w:val="22"/>
          <w:szCs w:val="22"/>
        </w:rPr>
        <w:t xml:space="preserve">The single most transferable lesson from VAPT methodology is that confirmation is a distinct, mandatory step — not an afterthought. Human testers do not report what a scanner flags; they reproduce it. A critical technical reason reinforces this for Pluto: version-string matching is unreliable evidence, because vendors routinely backport security fixes without changing the version banner. A service advertising a vulnerable version may well be patched. This is precisely why, in the schema (Section 4.3), a version match can raise a finding to candidate but only a deterministic validator can advance it to validated. Gate 1 is the architectural encoding of the confirmation discipline.</w:t>
      </w:r>
    </w:p>
    <w:p>
      <w:pPr>
        <w:pStyle w:val="Heading2"/>
        <w:spacing w:after="150" w:before="300"/>
      </w:pPr>
      <w:r>
        <w:t xml:space="preserve">7.3 Attack-Path and Multi-Step Chaining</w:t>
      </w:r>
    </w:p>
    <w:p>
      <w:pPr>
        <w:spacing w:after="160" w:line="276"/>
      </w:pPr>
      <w:r>
        <w:rPr>
          <w:sz w:val="22"/>
          <w:szCs w:val="22"/>
        </w:rPr>
        <w:t xml:space="preserve">Real engagements rarely turn on a single vulnerability; they turn on chains — a low-severity information leak that enables a credential attack that enables lateral movement. The BloodHound model, which graphs shortest paths to Domain Admin, is the canonical example of reasoning about chains rather than isolated findings. Pluto generalizes this: the investigation tree's cross_service_hypothesis node type exists specifically to represent an idea that ties two findings together into a potential chain, realized in the schema as a many-to-many join to the findings it connects (Section 4.6).</w:t>
      </w:r>
    </w:p>
    <w:p>
      <w:pPr>
        <w:pStyle w:val="Heading2"/>
        <w:spacing w:after="150" w:before="300"/>
      </w:pPr>
      <w:r>
        <w:t xml:space="preserve">7.4 Frameworks and Where They Fit</w:t>
      </w:r>
    </w:p>
    <w:p>
      <w:pPr>
        <w:spacing w:after="160" w:line="276"/>
      </w:pPr>
      <w:r>
        <w:rPr>
          <w:sz w:val="22"/>
          <w:szCs w:val="22"/>
        </w:rPr>
        <w:t xml:space="preserve">The established frameworks each contribute a piece of Pluto's vocabulary. PTES gives the phase structure; the OWASP Web Security Testing Guide (WSTG) gives the web-testing checklist; NIST SP 800-115 and OSSTMM give assessment rigor; MITRE ATT&amp;CK gives a shared vocabulary of adversary techniques that Pluto can use internally to label what an action is doing; and the Cyber Kill Chain gives the staged intrusion model. WSTG's Business Logic Testing category is explicitly flagged as the part that most resists automation — consistent with the field-survey finding that even the strongest agents still lose to top humans on business-logic and creative-chaining challenges. Pluto should treat these as the genuine frontier, not an early win.</w:t>
      </w:r>
    </w:p>
    <w:p>
      <w:pPr>
        <w:pStyle w:val="Heading2"/>
        <w:spacing w:after="150" w:before="300"/>
      </w:pPr>
      <w:r>
        <w:t xml:space="preserve">7.5 Honeypot and Decoy Heuristics</w:t>
      </w:r>
    </w:p>
    <w:p>
      <w:pPr>
        <w:spacing w:after="160" w:line="276"/>
      </w:pPr>
      <w:r>
        <w:rPr>
          <w:sz w:val="22"/>
          <w:szCs w:val="22"/>
        </w:rPr>
        <w:t xml:space="preserve">Network VAPT practitioners develop heuristics for spotting decoys — a host presenting implausibly many open ports, services whose banners don't match their behavior, or responses that are too uniform. Pluto's findings.honeypot_susp flag (Section 4.3) exists to capture this judgment so the reasoning core can deprioritize a branch that smells like a honeypot rather than burning attempts on it. This maps to a plausibility check the observation loop can apply as findings accumulate.</w:t>
      </w:r>
    </w:p>
    <w:p>
      <w:r>
        <w:br w:type="page"/>
      </w:r>
    </w:p>
    <w:p>
      <w:pPr>
        <w:pStyle w:val="Heading1"/>
        <w:spacing w:after="200" w:before="400"/>
      </w:pPr>
      <w:r>
        <w:t xml:space="preserve">8. Bug Bounty Platform Compliance</w:t>
      </w:r>
    </w:p>
    <w:p>
      <w:pPr>
        <w:spacing w:after="160" w:line="276"/>
      </w:pPr>
      <w:r>
        <w:rPr>
          <w:sz w:val="22"/>
          <w:szCs w:val="22"/>
        </w:rPr>
        <w:t xml:space="preserve">Phase 2 runs Pluto against real bug bounty programs on HackerOne and Bugcrowd. We researched the operational and compliance rules of these platforms in depth, because they impose external constraints that shape Pluto's architecture — not just its operating procedure. The most consequential finding is significant enough to state plainly at the top.</w:t>
      </w:r>
    </w:p>
    <w:tbl>
      <w:tblPr>
        <w:tblW w:type="dxa" w:w="9360"/>
        <w:tblBorders>
          <w:top w:val="single" w:color="D97706" w:sz="4"/>
          <w:left w:val="single" w:color="D97706" w:sz="18"/>
          <w:bottom w:val="single" w:color="D97706" w:sz="4"/>
          <w:right w:val="single" w:color="D97706" w:sz="4"/>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b/>
                <w:bCs/>
                <w:color w:val="92400E"/>
                <w:sz w:val="22"/>
                <w:szCs w:val="22"/>
              </w:rPr>
              <w:t xml:space="preserve">The single most important external constraint</w:t>
            </w:r>
          </w:p>
          <w:p>
            <w:r>
              <w:rPr>
                <w:color w:val="1F2937"/>
                <w:sz w:val="21"/>
                <w:szCs w:val="21"/>
              </w:rPr>
              <w:t xml:space="preserve">Fully autonomous submission is currently PROHIBITED by the major bug bounty platforms. HackerOne's Code of Conduct mandates a hacker-in-the-loop model requiring human validation of every finding before submission. Bugcrowd holds human operators accountable and, as of a March 2026 policy change, is banning bulk AI-generated low-quality submissions. Pluto's human submission gate (Gate 2) is therefore a compliance requirement, not an optional safety feature.</w:t>
            </w:r>
          </w:p>
        </w:tc>
      </w:tr>
    </w:tbl>
    <w:p>
      <w:pPr>
        <w:spacing w:before="160"/>
      </w:pPr>
    </w:p>
    <w:p>
      <w:pPr>
        <w:pStyle w:val="Heading2"/>
        <w:spacing w:after="150" w:before="300"/>
      </w:pPr>
      <w:r>
        <w:t xml:space="preserve">8.1 Why the Platforms Require a Human in the Loop</w:t>
      </w:r>
    </w:p>
    <w:p>
      <w:pPr>
        <w:spacing w:after="160" w:line="276"/>
      </w:pPr>
      <w:r>
        <w:rPr>
          <w:sz w:val="22"/>
          <w:szCs w:val="22"/>
        </w:rPr>
        <w:t xml:space="preserve">The platforms have real scar tissue from AI-generated report floods. The cURL project shut down its bug bounty program in January 2026 after being overwhelmed by AI-generated slop reports that wasted maintainer time. Bugcrowd's term for the pattern it is now banning is sloptimism — bulk low-quality AI submissions. The rules exist to protect the programs and their maintainers, and they are being actively enforced, so Pluto cannot treat autonomous submission as merely risky; it is out of bounds.</w:t>
      </w:r>
    </w:p>
    <w:p>
      <w:pPr>
        <w:pStyle w:val="Heading2"/>
        <w:spacing w:after="150" w:before="300"/>
      </w:pPr>
      <w:r>
        <w:t xml:space="preserve">8.2 The Positive Precedent: XBOW</w:t>
      </w:r>
    </w:p>
    <w:p>
      <w:pPr>
        <w:spacing w:after="160" w:line="276"/>
      </w:pPr>
      <w:r>
        <w:rPr>
          <w:sz w:val="22"/>
          <w:szCs w:val="22"/>
        </w:rPr>
        <w:t xml:space="preserve">The counter-example proves the model can work within the rules. XBOW became the first AI to reach #1 on HackerOne's US leaderboard — while complying with the human-in-the-loop requirement. Its success came from deterministic, non-LLM validators that eliminated false positives before a human ever reviewed a finding, which is exactly the mechanism Pluto's Gate 1 adopts. XBOW is the reason we are confident the two-gate model is not just compliant but competitive: rigorous self-validation is what makes a human gate scale.</w:t>
      </w:r>
    </w:p>
    <w:p>
      <w:pPr>
        <w:pStyle w:val="Heading2"/>
        <w:spacing w:after="150" w:before="300"/>
      </w:pPr>
      <w:r>
        <w:t xml:space="preserve">8.3 Reputation and Signal Systems</w:t>
      </w:r>
    </w:p>
    <w:p>
      <w:pPr>
        <w:spacing w:after="160" w:line="276"/>
      </w:pPr>
      <w:r>
        <w:rPr>
          <w:sz w:val="22"/>
          <w:szCs w:val="22"/>
        </w:rPr>
        <w:t xml:space="preserve">The platforms differ in how they score testers, which affects how conservative Pluto must be. HackerOne uses Reputation, Signal, and Impact — and critically, Signal penalizes invalid reports, so a burst of false positives actively damages standing. Bugcrowd's Kudos is purely additive and more forgiving. The implication for Pluto is that HackerOne is the less forgiving environment for a system that occasionally reports non-issues, which raises the bar for Gate 1's validator before Pluto operates there at any volume.</w:t>
      </w:r>
    </w:p>
    <w:p>
      <w:pPr>
        <w:pStyle w:val="Heading2"/>
        <w:spacing w:after="150" w:before="300"/>
      </w:pPr>
      <w:r>
        <w:t xml:space="preserve">8.4 Scope, Rate Limits, and Automation Rules</w:t>
      </w:r>
    </w:p>
    <w:p>
      <w:pPr>
        <w:pStyle w:val="ListParagraph"/>
        <w:numPr>
          <w:ilvl w:val="0"/>
          <w:numId w:val="1"/>
        </w:numPr>
        <w:spacing w:after="90" w:line="264"/>
      </w:pPr>
      <w:r>
        <w:t xml:space="preserve">Scope and rules of engagement vary per program and must be parsed individually. Going out of scope forfeits safe-harbor protection (see 7.5). Pluto's targets.scope_notes field (Section 4.2) is where a program's ROE, rate limits, and in/out-of-scope boundaries are recorded per engagement.</w:t>
      </w:r>
    </w:p>
    <w:p>
      <w:pPr>
        <w:pStyle w:val="ListParagraph"/>
        <w:numPr>
          <w:ilvl w:val="0"/>
          <w:numId w:val="1"/>
        </w:numPr>
        <w:spacing w:after="90" w:line="264"/>
      </w:pPr>
      <w:r>
        <w:t xml:space="preserve">Rate limits are typically program-specific, often in the range of 1–10 requests per second, and many programs require a traffic-identifying header so the program can distinguish researcher traffic. A substantial number of programs ban automated scanning outright.</w:t>
      </w:r>
    </w:p>
    <w:p>
      <w:pPr>
        <w:pStyle w:val="ListParagraph"/>
        <w:numPr>
          <w:ilvl w:val="0"/>
          <w:numId w:val="1"/>
        </w:numPr>
        <w:spacing w:after="90" w:line="264"/>
      </w:pPr>
      <w:r>
        <w:t xml:space="preserve">Pluto must parse each program's policy individually and default conservative — treat unspecified as the strictest reasonable interpretation (on the order of one request per second) rather than assuming permission.</w:t>
      </w:r>
    </w:p>
    <w:p>
      <w:pPr>
        <w:pStyle w:val="Heading2"/>
        <w:spacing w:after="150" w:before="300"/>
      </w:pPr>
      <w:r>
        <w:t xml:space="preserve">8.5 Legal and Safe-Harbor Framework</w:t>
      </w:r>
    </w:p>
    <w:p>
      <w:pPr>
        <w:spacing w:after="160" w:line="276"/>
      </w:pPr>
      <w:r>
        <w:rPr>
          <w:sz w:val="22"/>
          <w:szCs w:val="22"/>
        </w:rPr>
        <w:t xml:space="preserve">HackerOne's Gold Standard Safe Harbor and a January 2026 Good Faith AI Research Safe Harbor provide legal protection for good-faith research conducted within scope. The protection is conditional: going out of scope forfeits it, exposing the operator to potential liability under laws such as the CFAA and DMCA. This is another reason scope adherence and the red-lines file (Section 10) are treated as hard constraints in Pluto's design, and why the submission record (Section 4.4) names a human approver for every submission.</w:t>
      </w:r>
    </w:p>
    <w:p>
      <w:pPr>
        <w:pStyle w:val="Heading2"/>
        <w:spacing w:after="150" w:before="300"/>
      </w:pPr>
      <w:r>
        <w:t xml:space="preserve">8.6 A Staged Roadmap Into Live Programs</w:t>
      </w:r>
    </w:p>
    <w:p>
      <w:pPr>
        <w:spacing w:after="160" w:line="276"/>
      </w:pPr>
      <w:r>
        <w:rPr>
          <w:sz w:val="22"/>
          <w:szCs w:val="22"/>
        </w:rPr>
        <w:t xml:space="preserve">The research suggested a conservative staging into live operation, which Cyber Pluto adopts as the Phase 2 plan:</w:t>
      </w:r>
    </w:p>
    <w:p>
      <w:pPr>
        <w:pStyle w:val="ListParagraph"/>
        <w:numPr>
          <w:ilvl w:val="0"/>
          <w:numId w:val="1"/>
        </w:numPr>
        <w:spacing w:after="90" w:line="264"/>
      </w:pPr>
      <w:r>
        <w:t xml:space="preserve">Stage 1 — Compliance foundation: the two gates and per-program policy parsing working end-to-end, with the human submission gate mandatory.</w:t>
      </w:r>
    </w:p>
    <w:p>
      <w:pPr>
        <w:pStyle w:val="ListParagraph"/>
        <w:numPr>
          <w:ilvl w:val="0"/>
          <w:numId w:val="1"/>
        </w:numPr>
        <w:spacing w:after="90" w:line="264"/>
      </w:pPr>
      <w:r>
        <w:t xml:space="preserve">Stage 2 — Validation and signal discipline: prove Gate 1's false-positive rate is low enough to protect standing on HackerOne's Signal before operating at volume.</w:t>
      </w:r>
    </w:p>
    <w:p>
      <w:pPr>
        <w:pStyle w:val="ListParagraph"/>
        <w:numPr>
          <w:ilvl w:val="0"/>
          <w:numId w:val="1"/>
        </w:numPr>
        <w:spacing w:after="90" w:line="264"/>
      </w:pPr>
      <w:r>
        <w:t xml:space="preserve">Stage 3 — Low-risk programs first: begin with vulnerability disclosure programs (VDPs) and public programs before anything higher-stakes.</w:t>
      </w:r>
    </w:p>
    <w:p>
      <w:pPr>
        <w:pStyle w:val="ListParagraph"/>
        <w:numPr>
          <w:ilvl w:val="0"/>
          <w:numId w:val="1"/>
        </w:numPr>
        <w:spacing w:after="90" w:line="264"/>
      </w:pPr>
      <w:r>
        <w:t xml:space="preserve">Stage 4 — Rate and safety governance: per-program rate limiting, traffic-ID headers, and red-lines enforcement proven in live conditions.</w:t>
      </w:r>
    </w:p>
    <w:p>
      <w:r>
        <w:br w:type="page"/>
      </w:r>
    </w:p>
    <w:p>
      <w:pPr>
        <w:pStyle w:val="Heading1"/>
        <w:spacing w:after="200" w:before="400"/>
      </w:pPr>
      <w:r>
        <w:t xml:space="preserve">9. Field Survey: State of the Art in Agentic Cybersecurity Harnesses</w:t>
      </w:r>
    </w:p>
    <w:p>
      <w:pPr>
        <w:spacing w:after="160" w:line="276"/>
      </w:pPr>
      <w:r>
        <w:rPr>
          <w:sz w:val="22"/>
          <w:szCs w:val="22"/>
        </w:rPr>
        <w:t xml:space="preserve">Before finalizing Pluto's architecture, we surveyed the current landscape of autonomous AI cybersecurity agents and VAPT tooling (September 2026), to validate our own design choices against what already exists and to identify reference patterns worth studying. This section summarizes that survey.</w:t>
      </w:r>
    </w:p>
    <w:p>
      <w:pPr>
        <w:pStyle w:val="Heading2"/>
        <w:spacing w:after="150" w:before="300"/>
      </w:pPr>
      <w:r>
        <w:t xml:space="preserve">9.1 Top-Line Findings</w:t>
      </w:r>
    </w:p>
    <w:p>
      <w:pPr>
        <w:pStyle w:val="ListParagraph"/>
        <w:numPr>
          <w:ilvl w:val="0"/>
          <w:numId w:val="1"/>
        </w:numPr>
        <w:spacing w:after="90" w:line="264"/>
      </w:pPr>
      <w:r>
        <w:t xml:space="preserve">The field has moved quickly — from 'LLMs can assist with CTFs' to fully autonomous agents outright winning competitions. CAI (Alias Robotics) won the $50,000 NeuroGrid CTF (41/45 challenges); STRIATUM-CTF took 1st place against 21 human teams.</w:t>
      </w:r>
    </w:p>
    <w:p>
      <w:pPr>
        <w:pStyle w:val="ListParagraph"/>
        <w:numPr>
          <w:ilvl w:val="0"/>
          <w:numId w:val="1"/>
        </w:numPr>
        <w:spacing w:after="90" w:line="264"/>
      </w:pPr>
      <w:r>
        <w:t xml:space="preserve">Nearly all serious harnesses share the same five-part pattern Pluto independently arrived at: a reasoning LLM core, an increasingly MCP-based tool/execution layer, a state/memory store, an observe-act feedback loop, and a knowledge base seeded with CVE/CWE/OWASP data plus self-learned patterns.</w:t>
      </w:r>
    </w:p>
    <w:p>
      <w:pPr>
        <w:pStyle w:val="ListParagraph"/>
        <w:numPr>
          <w:ilvl w:val="0"/>
          <w:numId w:val="1"/>
        </w:numPr>
        <w:spacing w:after="90" w:line="264"/>
      </w:pPr>
      <w:r>
        <w:t xml:space="preserve">Pluto's architecture maps closely onto proven designs: LLM4Pentest and CyberStrike use SQLite for state, PentAGI uses PostgreSQL+pgvector for semantic memory, and pentest-ai-agents uses a SQLite findings DB with a hard-refusal scope guard — each choice Pluto has made shows up validated somewhere in the field.</w:t>
      </w:r>
    </w:p>
    <w:p>
      <w:pPr>
        <w:pStyle w:val="ListParagraph"/>
        <w:numPr>
          <w:ilvl w:val="0"/>
          <w:numId w:val="1"/>
        </w:numPr>
        <w:spacing w:after="90" w:line="264"/>
      </w:pPr>
      <w:r>
        <w:t xml:space="preserve">The standard VAPT arsenal is well-established and converging. HexStrike AI (150+ tools) and CyberStrike (176+ MCP tools) are the de facto reference lists.</w:t>
      </w:r>
    </w:p>
    <w:p>
      <w:pPr>
        <w:pStyle w:val="Heading2"/>
        <w:spacing w:after="150" w:before="300"/>
      </w:pPr>
      <w:r>
        <w:t xml:space="preserve">9.2 Cross-Cutting Architectural Patterns</w:t>
      </w:r>
    </w:p>
    <w:p>
      <w:pPr>
        <w:pStyle w:val="ListParagraph"/>
        <w:numPr>
          <w:ilvl w:val="0"/>
          <w:numId w:val="1"/>
        </w:numPr>
        <w:spacing w:after="90" w:line="264"/>
      </w:pPr>
      <w:r>
        <w:t xml:space="preserve">MCP (Model Context Protocol) is becoming the standard tool-integration layer (HexStrike, STRIATUM-CTF, CyberStrike, Pentest-Swarm-AI). The STRIATUM-CTF paper argues MCP's strict schema compliance reduces hallucination over long exploit trajectories.</w:t>
      </w:r>
    </w:p>
    <w:p>
      <w:pPr>
        <w:pStyle w:val="ListParagraph"/>
        <w:numPr>
          <w:ilvl w:val="0"/>
          <w:numId w:val="1"/>
        </w:numPr>
        <w:spacing w:after="90" w:line="264"/>
      </w:pPr>
      <w:r>
        <w:t xml:space="preserve">Persistent state is typically SQLite (per-engagement) or a vector DB (cross-engagement) — matching Pluto's Layer 2 / Layer 5 split.</w:t>
      </w:r>
    </w:p>
    <w:p>
      <w:pPr>
        <w:pStyle w:val="ListParagraph"/>
        <w:numPr>
          <w:ilvl w:val="0"/>
          <w:numId w:val="1"/>
        </w:numPr>
        <w:spacing w:after="90" w:line="264"/>
      </w:pPr>
      <w:r>
        <w:t xml:space="preserve">CVE knowledge bases are integrated via RAG in essentially every serious framework (PentestMonkey, CAPEC, OWASP WSTG, CISA KEV).</w:t>
      </w:r>
    </w:p>
    <w:p>
      <w:pPr>
        <w:pStyle w:val="ListParagraph"/>
        <w:numPr>
          <w:ilvl w:val="0"/>
          <w:numId w:val="1"/>
        </w:numPr>
        <w:spacing w:after="90" w:line="264"/>
      </w:pPr>
      <w:r>
        <w:t xml:space="preserve">Known-exploit lookup versus novel exploration is balanced through a RAG-first-then-reason loop, consistent with the guiding principle in Section 1.3.</w:t>
      </w:r>
    </w:p>
    <w:p>
      <w:pPr>
        <w:pStyle w:val="ListParagraph"/>
        <w:numPr>
          <w:ilvl w:val="0"/>
          <w:numId w:val="1"/>
        </w:numPr>
        <w:spacing w:after="90" w:line="264"/>
      </w:pPr>
      <w:r>
        <w:t xml:space="preserve">Safety guardrails and scope restriction are increasingly explicit and standard, not optional — see Section 10.</w:t>
      </w:r>
    </w:p>
    <w:p>
      <w:pPr>
        <w:pStyle w:val="Heading2"/>
        <w:spacing w:after="150" w:before="300"/>
      </w:pPr>
      <w:r>
        <w:t xml:space="preserve">9.3 Autonomy Spectrum — and the Validation Convergence</w:t>
      </w:r>
    </w:p>
    <w:p>
      <w:pPr>
        <w:spacing w:after="160" w:line="276"/>
      </w:pPr>
      <w:r>
        <w:rPr>
          <w:sz w:val="22"/>
          <w:szCs w:val="22"/>
        </w:rPr>
        <w:t xml:space="preserve">Frameworks split between fully autonomous operation (CAI, HexStrike, STRIATUM-CTF, CyberStrike, PentAGI, Strix, Pentest-Swarm-AI) and human-in-the-loop modes (PentestGPT legacy, pentest-ai-agents' tiered model). A December 2025 study on a live 8,000-host network found the best autonomous agent beat 9 of 10 human testers but lost to the top human on creative chaining and business-logic vulnerabilities — a calibration point for where Pluto should expect difficulty to sit. Notably, the strongest performers on real programs (XBOW, Strix) converge on a hard validation rule — 'no PoC, no finding' — which is exactly Pluto's Gate 1.</w:t>
      </w:r>
    </w:p>
    <w:p>
      <w:pPr>
        <w:pStyle w:val="Heading2"/>
        <w:spacing w:after="150" w:before="300"/>
      </w:pPr>
      <w:r>
        <w:t xml:space="preserve">9.4 Framework Profiles</w:t>
      </w:r>
    </w:p>
    <w:p>
      <w:pPr>
        <w:pStyle w:val="Heading3"/>
        <w:spacing w:after="100" w:before="200"/>
      </w:pPr>
      <w:r>
        <w:t xml:space="preserve">CAI (Cybersecurity AI) — Alias Robotics</w:t>
      </w:r>
    </w:p>
    <w:p>
      <w:pPr>
        <w:spacing w:after="160" w:line="276"/>
      </w:pPr>
      <w:r>
        <w:rPr>
          <w:sz w:val="22"/>
          <w:szCs w:val="22"/>
        </w:rPr>
        <w:t xml:space="preserve">A lightweight open-source framework for offensive/defensive AI security agents, built on eight pillars including Handoffs, Guardrails, and Human-in-the-Loop, supporting 300+ LLMs with its own alias1 model. Results: #1 at NeuroGrid CTF ($50,000), Top-10 at Dragos OT CTF 2025, and a claimed 99.04% mean percentile across five 2025 competitions. Its own paper documents CAI being compromised by encoding-obfuscated prompt injection despite active guardrails — a useful cautionary data point. Relevance to Pluto: the most transferable pieces are CAI's agent-to-agent handoff pattern and its four-layer guardrail philosophy, not the model itself.</w:t>
      </w:r>
    </w:p>
    <w:p>
      <w:pPr>
        <w:pStyle w:val="Heading3"/>
        <w:spacing w:after="100" w:before="200"/>
      </w:pPr>
      <w:r>
        <w:t xml:space="preserve">HexStrike AI</w:t>
      </w:r>
    </w:p>
    <w:p>
      <w:pPr>
        <w:spacing w:after="160" w:line="276"/>
      </w:pPr>
      <w:r>
        <w:rPr>
          <w:sz w:val="22"/>
          <w:szCs w:val="22"/>
        </w:rPr>
        <w:t xml:space="preserve">An MCP server letting AI agents autonomously run 150+ tools; MIT licensed, ~7,200+ stars. Reported in late 2025 as adopted by real threat actors — a concrete dual-use risk signal relevant to Pluto's safety design (Section 10).</w:t>
      </w:r>
    </w:p>
    <w:p>
      <w:pPr>
        <w:pStyle w:val="Heading3"/>
        <w:spacing w:after="100" w:before="200"/>
      </w:pPr>
      <w:r>
        <w:t xml:space="preserve">STRIATUM-CTF</w:t>
      </w:r>
    </w:p>
    <w:p>
      <w:pPr>
        <w:spacing w:after="160" w:line="276"/>
      </w:pPr>
      <w:r>
        <w:rPr>
          <w:sz w:val="22"/>
          <w:szCs w:val="22"/>
        </w:rPr>
        <w:t xml:space="preserve">An academic (Florida State) neuro-symbolic framework on MCP; took first place against 21 human teams. Noted limitation: MCP re-injects full tool schemas per interaction, adding token overhead at scale.</w:t>
      </w:r>
    </w:p>
    <w:p>
      <w:pPr>
        <w:pStyle w:val="Heading3"/>
        <w:spacing w:after="100" w:before="200"/>
      </w:pPr>
      <w:r>
        <w:t xml:space="preserve">PentestGPT</w:t>
      </w:r>
    </w:p>
    <w:p>
      <w:pPr>
        <w:spacing w:after="160" w:line="276"/>
      </w:pPr>
      <w:r>
        <w:rPr>
          <w:sz w:val="22"/>
          <w:szCs w:val="22"/>
        </w:rPr>
        <w:t xml:space="preserve">The pioneering LLM pentesting framework (NTU Singapore, USENIX Security 2024). Built around a Pentesting Task Tree to combat context loss over long sessions — a strong reference for Pluto's Section 4 tree layer. Its v1.0 agentic pipeline (on Claude Code) reports 86.5% on the XBOW validation suite. MIT licensed.</w:t>
      </w:r>
    </w:p>
    <w:p>
      <w:pPr>
        <w:pStyle w:val="Heading3"/>
        <w:spacing w:after="100" w:before="200"/>
      </w:pPr>
      <w:r>
        <w:t xml:space="preserve">CyberStrike (CyberStrikeus/CyberStrike)</w:t>
      </w:r>
    </w:p>
    <w:p>
      <w:pPr>
        <w:spacing w:after="160" w:line="276"/>
      </w:pPr>
      <w:r>
        <w:rPr>
          <w:sz w:val="22"/>
          <w:szCs w:val="22"/>
        </w:rPr>
        <w:t xml:space="preserve">An open-source AI-augmented offensive harness on top of Claude Code / OpenAI, with 13+ domain-specialist agents, 176+ MCP tools, and 7,600+ signed skill files. Its standout feature is a 3-gate PoC validation protocol (baseline → attack → compare) — the direct model for Pluto's Gate 1. AGPL-3.0 licensed. Note: a separate Ed1s0nZ/CyberStrikeAI project (with RBAC and governed-execution modes) is a distinct codebase; Cyber Pluto is looking at the AGPL CyberStrikeus project.</w:t>
      </w:r>
    </w:p>
    <w:p>
      <w:pPr>
        <w:pStyle w:val="Heading3"/>
        <w:spacing w:after="100" w:before="200"/>
      </w:pPr>
      <w:r>
        <w:t xml:space="preserve">Pentest-Swarm-AI</w:t>
      </w:r>
    </w:p>
    <w:p>
      <w:pPr>
        <w:spacing w:after="160" w:line="276"/>
      </w:pPr>
      <w:r>
        <w:rPr>
          <w:sz w:val="22"/>
          <w:szCs w:val="22"/>
        </w:rPr>
        <w:t xml:space="preserve">A swarm-based framework (Armur-Ai) in Go with a Claude backend; five-agent architecture with an explicit RECON → HYPOTHESIS → TEST → CONFIRM loop. AGPL-3.0 licensed.</w:t>
      </w:r>
    </w:p>
    <w:p>
      <w:pPr>
        <w:pStyle w:val="Heading3"/>
        <w:spacing w:after="100" w:before="200"/>
      </w:pPr>
      <w:r>
        <w:t xml:space="preserve">pentest-ai-agents (0xSteph)</w:t>
      </w:r>
    </w:p>
    <w:p>
      <w:pPr>
        <w:spacing w:after="160" w:line="276"/>
      </w:pPr>
      <w:r>
        <w:rPr>
          <w:sz w:val="22"/>
          <w:szCs w:val="22"/>
        </w:rPr>
        <w:t xml:space="preserve">Turns Claude Code into an offensive assistant via 50+ subagents. Its two-tier safety model (advisory / approved-execution) plus an explicit hard-refusal list (denial-of-service, mass scanning, unattended self-propagation, false-flag operations, safety-of-life systems) is the most directly applicable safety reference found. Its SQLite findings DB indexed on cve and tool_used is a reference for Pluto's Section 4 evidence layer.</w:t>
      </w:r>
    </w:p>
    <w:p>
      <w:pPr>
        <w:pStyle w:val="Heading3"/>
        <w:spacing w:after="100" w:before="200"/>
      </w:pPr>
      <w:r>
        <w:t xml:space="preserve">PentAGI, Strix, and LLM4Pentest</w:t>
      </w:r>
    </w:p>
    <w:p>
      <w:pPr>
        <w:spacing w:after="160" w:line="276"/>
      </w:pPr>
      <w:r>
        <w:rPr>
          <w:sz w:val="22"/>
          <w:szCs w:val="22"/>
        </w:rPr>
        <w:t xml:space="preserve">PentAGI (~14,700 stars) uses PostgreSQL+pgvector and Docker-sandboxed sub-agents. Strix enforces a strict 'no PoC, no finding' rule and reports 96% on a black-box CTF benchmark — validating Gate 1 from another angle. LLM4Pentest's four-source RAG knowledge base (PentestMonkey, CAPEC, OWASP WSTG, CISA KEV) is the most reusable reference for Pluto's seeded KB tier (Section 2.5).</w:t>
      </w:r>
    </w:p>
    <w:p>
      <w:pPr>
        <w:pStyle w:val="Heading2"/>
        <w:spacing w:after="150" w:before="300"/>
      </w:pPr>
      <w:r>
        <w:t xml:space="preserve">9.5 Common Pattern: Memory and State</w:t>
      </w:r>
    </w:p>
    <w:p>
      <w:pPr>
        <w:spacing w:after="160" w:line="276"/>
      </w:pPr>
      <w:r>
        <w:rPr>
          <w:sz w:val="22"/>
          <w:szCs w:val="22"/>
        </w:rPr>
        <w:t xml:space="preserve">SQLite is the dominant choice for per-engagement state (LLM4Pentest, CyberStrike, pentest-ai-agents), with a minority (PentAGI) using Postgres+pgvector to fold semantic memory into the primary store. Pluto's split — SQLite for per-target state, a separate vector store for the cross-challenge KB — is consistent with the majority pattern and keeps the two concerns cleanly separated.</w:t>
      </w:r>
    </w:p>
    <w:p>
      <w:pPr>
        <w:pStyle w:val="Heading2"/>
        <w:spacing w:after="150" w:before="300"/>
      </w:pPr>
      <w:r>
        <w:t xml:space="preserve">9.6 Common Pattern: Most-Used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w:trPr>
          <w:tblHeader/>
        </w:trPr>
        <w:tc>
          <w:tcPr>
            <w:tcW w:type="dxa" w:w="1800"/>
            <w:shd w:fill="1F2937" w:val="clear"/>
            <w:tcMar>
              <w:top w:type="dxa" w:w="80"/>
              <w:left w:type="dxa" w:w="100"/>
              <w:bottom w:type="dxa" w:w="80"/>
              <w:right w:type="dxa" w:w="100"/>
            </w:tcMar>
          </w:tcPr>
          <w:p>
            <w:r>
              <w:rPr>
                <w:b/>
                <w:bCs/>
                <w:color w:val="FFFFFF"/>
                <w:sz w:val="20"/>
                <w:szCs w:val="20"/>
              </w:rPr>
              <w:t xml:space="preserve">Category</w:t>
            </w:r>
          </w:p>
        </w:tc>
        <w:tc>
          <w:tcPr>
            <w:tcW w:type="dxa" w:w="4300"/>
            <w:shd w:fill="1F2937" w:val="clear"/>
            <w:tcMar>
              <w:top w:type="dxa" w:w="80"/>
              <w:left w:type="dxa" w:w="100"/>
              <w:bottom w:type="dxa" w:w="80"/>
              <w:right w:type="dxa" w:w="100"/>
            </w:tcMar>
          </w:tcPr>
          <w:p>
            <w:r>
              <w:rPr>
                <w:b/>
                <w:bCs/>
                <w:color w:val="FFFFFF"/>
                <w:sz w:val="20"/>
                <w:szCs w:val="20"/>
              </w:rPr>
              <w:t xml:space="preserve">Tools</w:t>
            </w:r>
          </w:p>
        </w:tc>
        <w:tc>
          <w:tcPr>
            <w:tcW w:type="dxa" w:w="3260"/>
            <w:shd w:fill="1F2937" w:val="clear"/>
            <w:tcMar>
              <w:top w:type="dxa" w:w="80"/>
              <w:left w:type="dxa" w:w="100"/>
              <w:bottom w:type="dxa" w:w="80"/>
              <w:right w:type="dxa" w:w="100"/>
            </w:tcMar>
          </w:tcPr>
          <w:p>
            <w:r>
              <w:rPr>
                <w:b/>
                <w:bCs/>
                <w:color w:val="FFFFFF"/>
                <w:sz w:val="20"/>
                <w:szCs w:val="20"/>
              </w:rPr>
              <w:t xml:space="preserve">Notes</w:t>
            </w:r>
          </w:p>
        </w:tc>
      </w:tr>
      <w:tr>
        <w:tc>
          <w:tcPr>
            <w:tcW w:type="dxa" w:w="1800"/>
            <w:tcMar>
              <w:top w:type="dxa" w:w="80"/>
              <w:left w:type="dxa" w:w="100"/>
              <w:bottom w:type="dxa" w:w="80"/>
              <w:right w:type="dxa" w:w="100"/>
            </w:tcMar>
          </w:tcPr>
          <w:p>
            <w:r>
              <w:rPr>
                <w:b w:val="false"/>
                <w:bCs w:val="false"/>
                <w:sz w:val="20"/>
                <w:szCs w:val="20"/>
              </w:rPr>
              <w:t xml:space="preserve">Network &amp; recon</w:t>
            </w:r>
          </w:p>
        </w:tc>
        <w:tc>
          <w:tcPr>
            <w:tcW w:type="dxa" w:w="4300"/>
            <w:tcMar>
              <w:top w:type="dxa" w:w="80"/>
              <w:left w:type="dxa" w:w="100"/>
              <w:bottom w:type="dxa" w:w="80"/>
              <w:right w:type="dxa" w:w="100"/>
            </w:tcMar>
          </w:tcPr>
          <w:p>
            <w:r>
              <w:rPr>
                <w:b w:val="false"/>
                <w:bCs w:val="false"/>
                <w:sz w:val="20"/>
                <w:szCs w:val="20"/>
              </w:rPr>
              <w:t xml:space="preserve">nmap, masscan / rustscan, subfinder, amass, httpx, naabu</w:t>
            </w:r>
          </w:p>
        </w:tc>
        <w:tc>
          <w:tcPr>
            <w:tcW w:type="dxa" w:w="3260"/>
            <w:tcMar>
              <w:top w:type="dxa" w:w="80"/>
              <w:left w:type="dxa" w:w="100"/>
              <w:bottom w:type="dxa" w:w="80"/>
              <w:right w:type="dxa" w:w="100"/>
            </w:tcMar>
          </w:tcPr>
          <w:p>
            <w:r>
              <w:rPr>
                <w:b w:val="false"/>
                <w:bCs w:val="false"/>
                <w:sz w:val="20"/>
                <w:szCs w:val="20"/>
              </w:rPr>
              <w:t xml:space="preserve">Appears in essentially every framework surveyed</w:t>
            </w:r>
          </w:p>
        </w:tc>
      </w:tr>
      <w:tr>
        <w:tc>
          <w:tcPr>
            <w:tcW w:type="dxa" w:w="1800"/>
            <w:shd w:fill="F3F4F6" w:val="clear"/>
            <w:tcMar>
              <w:top w:type="dxa" w:w="80"/>
              <w:left w:type="dxa" w:w="100"/>
              <w:bottom w:type="dxa" w:w="80"/>
              <w:right w:type="dxa" w:w="100"/>
            </w:tcMar>
          </w:tcPr>
          <w:p>
            <w:r>
              <w:rPr>
                <w:b w:val="false"/>
                <w:bCs w:val="false"/>
                <w:sz w:val="20"/>
                <w:szCs w:val="20"/>
              </w:rPr>
              <w:t xml:space="preserve">Web application</w:t>
            </w:r>
          </w:p>
        </w:tc>
        <w:tc>
          <w:tcPr>
            <w:tcW w:type="dxa" w:w="4300"/>
            <w:shd w:fill="F3F4F6" w:val="clear"/>
            <w:tcMar>
              <w:top w:type="dxa" w:w="80"/>
              <w:left w:type="dxa" w:w="100"/>
              <w:bottom w:type="dxa" w:w="80"/>
              <w:right w:type="dxa" w:w="100"/>
            </w:tcMar>
          </w:tcPr>
          <w:p>
            <w:r>
              <w:rPr>
                <w:b w:val="false"/>
                <w:bCs w:val="false"/>
                <w:sz w:val="20"/>
                <w:szCs w:val="20"/>
              </w:rPr>
              <w:t xml:space="preserve">nuclei, sqlmap, ffuf / feroxbuster / gobuster, katana, nikto, wpscan</w:t>
            </w:r>
          </w:p>
        </w:tc>
        <w:tc>
          <w:tcPr>
            <w:tcW w:type="dxa" w:w="3260"/>
            <w:shd w:fill="F3F4F6" w:val="clear"/>
            <w:tcMar>
              <w:top w:type="dxa" w:w="80"/>
              <w:left w:type="dxa" w:w="100"/>
              <w:bottom w:type="dxa" w:w="80"/>
              <w:right w:type="dxa" w:w="100"/>
            </w:tcMar>
          </w:tcPr>
          <w:p>
            <w:r>
              <w:rPr>
                <w:b w:val="false"/>
                <w:bCs w:val="false"/>
                <w:sz w:val="20"/>
                <w:szCs w:val="20"/>
              </w:rPr>
              <w:t xml:space="preserve">Appears in nearly every framework surveyed</w:t>
            </w:r>
          </w:p>
        </w:tc>
      </w:tr>
      <w:tr>
        <w:tc>
          <w:tcPr>
            <w:tcW w:type="dxa" w:w="1800"/>
            <w:tcMar>
              <w:top w:type="dxa" w:w="80"/>
              <w:left w:type="dxa" w:w="100"/>
              <w:bottom w:type="dxa" w:w="80"/>
              <w:right w:type="dxa" w:w="100"/>
            </w:tcMar>
          </w:tcPr>
          <w:p>
            <w:r>
              <w:rPr>
                <w:b w:val="false"/>
                <w:bCs w:val="false"/>
                <w:sz w:val="20"/>
                <w:szCs w:val="20"/>
              </w:rPr>
              <w:t xml:space="preserve">Credentials</w:t>
            </w:r>
          </w:p>
        </w:tc>
        <w:tc>
          <w:tcPr>
            <w:tcW w:type="dxa" w:w="4300"/>
            <w:tcMar>
              <w:top w:type="dxa" w:w="80"/>
              <w:left w:type="dxa" w:w="100"/>
              <w:bottom w:type="dxa" w:w="80"/>
              <w:right w:type="dxa" w:w="100"/>
            </w:tcMar>
          </w:tcPr>
          <w:p>
            <w:r>
              <w:rPr>
                <w:b w:val="false"/>
                <w:bCs w:val="false"/>
                <w:sz w:val="20"/>
                <w:szCs w:val="20"/>
              </w:rPr>
              <w:t xml:space="preserve">hydra, John the Ripper, hashcat, NetExec (ex-CrackMapExec)</w:t>
            </w:r>
          </w:p>
        </w:tc>
        <w:tc>
          <w:tcPr>
            <w:tcW w:type="dxa" w:w="3260"/>
            <w:tcMar>
              <w:top w:type="dxa" w:w="80"/>
              <w:left w:type="dxa" w:w="100"/>
              <w:bottom w:type="dxa" w:w="80"/>
              <w:right w:type="dxa" w:w="100"/>
            </w:tcMar>
          </w:tcPr>
          <w:p>
            <w:r>
              <w:rPr>
                <w:b w:val="false"/>
                <w:bCs w:val="false"/>
                <w:sz w:val="20"/>
                <w:szCs w:val="20"/>
              </w:rPr>
              <w:t xml:space="preserve">Common wherever credential attacks are covered</w:t>
            </w:r>
          </w:p>
        </w:tc>
      </w:tr>
      <w:tr>
        <w:tc>
          <w:tcPr>
            <w:tcW w:type="dxa" w:w="1800"/>
            <w:shd w:fill="F3F4F6" w:val="clear"/>
            <w:tcMar>
              <w:top w:type="dxa" w:w="80"/>
              <w:left w:type="dxa" w:w="100"/>
              <w:bottom w:type="dxa" w:w="80"/>
              <w:right w:type="dxa" w:w="100"/>
            </w:tcMar>
          </w:tcPr>
          <w:p>
            <w:r>
              <w:rPr>
                <w:b w:val="false"/>
                <w:bCs w:val="false"/>
                <w:sz w:val="20"/>
                <w:szCs w:val="20"/>
              </w:rPr>
              <w:t xml:space="preserve">Exploitation</w:t>
            </w:r>
          </w:p>
        </w:tc>
        <w:tc>
          <w:tcPr>
            <w:tcW w:type="dxa" w:w="4300"/>
            <w:shd w:fill="F3F4F6" w:val="clear"/>
            <w:tcMar>
              <w:top w:type="dxa" w:w="80"/>
              <w:left w:type="dxa" w:w="100"/>
              <w:bottom w:type="dxa" w:w="80"/>
              <w:right w:type="dxa" w:w="100"/>
            </w:tcMar>
          </w:tcPr>
          <w:p>
            <w:r>
              <w:rPr>
                <w:b w:val="false"/>
                <w:bCs w:val="false"/>
                <w:sz w:val="20"/>
                <w:szCs w:val="20"/>
              </w:rPr>
              <w:t xml:space="preserve">Metasploit Framework</w:t>
            </w:r>
          </w:p>
        </w:tc>
        <w:tc>
          <w:tcPr>
            <w:tcW w:type="dxa" w:w="3260"/>
            <w:shd w:fill="F3F4F6" w:val="clear"/>
            <w:tcMar>
              <w:top w:type="dxa" w:w="80"/>
              <w:left w:type="dxa" w:w="100"/>
              <w:bottom w:type="dxa" w:w="80"/>
              <w:right w:type="dxa" w:w="100"/>
            </w:tcMar>
          </w:tcPr>
          <w:p>
            <w:r>
              <w:rPr>
                <w:b w:val="false"/>
                <w:bCs w:val="false"/>
                <w:sz w:val="20"/>
                <w:szCs w:val="20"/>
              </w:rPr>
              <w:t xml:space="preserve">The common exploitation backend across almost all frameworks</w:t>
            </w:r>
          </w:p>
        </w:tc>
      </w:tr>
      <w:tr>
        <w:tc>
          <w:tcPr>
            <w:tcW w:type="dxa" w:w="1800"/>
            <w:tcMar>
              <w:top w:type="dxa" w:w="80"/>
              <w:left w:type="dxa" w:w="100"/>
              <w:bottom w:type="dxa" w:w="80"/>
              <w:right w:type="dxa" w:w="100"/>
            </w:tcMar>
          </w:tcPr>
          <w:p>
            <w:r>
              <w:rPr>
                <w:b w:val="false"/>
                <w:bCs w:val="false"/>
                <w:sz w:val="20"/>
                <w:szCs w:val="20"/>
              </w:rPr>
              <w:t xml:space="preserve">Active Directory</w:t>
            </w:r>
          </w:p>
        </w:tc>
        <w:tc>
          <w:tcPr>
            <w:tcW w:type="dxa" w:w="4300"/>
            <w:tcMar>
              <w:top w:type="dxa" w:w="80"/>
              <w:left w:type="dxa" w:w="100"/>
              <w:bottom w:type="dxa" w:w="80"/>
              <w:right w:type="dxa" w:w="100"/>
            </w:tcMar>
          </w:tcPr>
          <w:p>
            <w:r>
              <w:rPr>
                <w:b w:val="false"/>
                <w:bCs w:val="false"/>
                <w:sz w:val="20"/>
                <w:szCs w:val="20"/>
              </w:rPr>
              <w:t xml:space="preserve">Impacket, BloodHound, evil-winrm, Kerbrute</w:t>
            </w:r>
          </w:p>
        </w:tc>
        <w:tc>
          <w:tcPr>
            <w:tcW w:type="dxa" w:w="3260"/>
            <w:tcMar>
              <w:top w:type="dxa" w:w="80"/>
              <w:left w:type="dxa" w:w="100"/>
              <w:bottom w:type="dxa" w:w="80"/>
              <w:right w:type="dxa" w:w="100"/>
            </w:tcMar>
          </w:tcPr>
          <w:p>
            <w:r>
              <w:rPr>
                <w:b w:val="false"/>
                <w:bCs w:val="false"/>
                <w:sz w:val="20"/>
                <w:szCs w:val="20"/>
              </w:rPr>
              <w:t xml:space="preserve">Common wherever AD is covered (CyberStrike, pentest-ai-agents, CAI)</w:t>
            </w:r>
          </w:p>
        </w:tc>
      </w:tr>
    </w:tbl>
    <w:p>
      <w:pPr>
        <w:spacing w:before="200"/>
      </w:pPr>
    </w:p>
    <w:p>
      <w:pPr>
        <w:spacing w:after="160" w:line="276"/>
      </w:pPr>
      <w:r>
        <w:rPr>
          <w:sz w:val="22"/>
          <w:szCs w:val="22"/>
        </w:rPr>
        <w:t xml:space="preserve">The smallest set treated as non-negotiable regardless of focus area is nmap, nuclei, sqlmap, the ffuf-family, and Metasploit — the core adopted in Section 2.3.</w:t>
      </w:r>
    </w:p>
    <w:p>
      <w:r>
        <w:br w:type="page"/>
      </w:r>
    </w:p>
    <w:p>
      <w:pPr>
        <w:pStyle w:val="Heading1"/>
        <w:spacing w:after="200" w:before="400"/>
      </w:pPr>
      <w:r>
        <w:t xml:space="preserve">10. Safety &amp; Governance Model</w:t>
      </w:r>
    </w:p>
    <w:p>
      <w:pPr>
        <w:pStyle w:val="Heading2"/>
        <w:spacing w:after="150" w:before="300"/>
      </w:pPr>
      <w:r>
        <w:t xml:space="preserve">10.1 The Model</w:t>
      </w:r>
    </w:p>
    <w:p>
      <w:pPr>
        <w:spacing w:after="160" w:line="276"/>
      </w:pPr>
      <w:r>
        <w:rPr>
          <w:sz w:val="22"/>
          <w:szCs w:val="22"/>
        </w:rPr>
        <w:t xml:space="preserve">Pluto's safety model rests on three mechanisms that map onto the two-gate design:</w:t>
      </w:r>
    </w:p>
    <w:p>
      <w:pPr>
        <w:pStyle w:val="ListParagraph"/>
        <w:numPr>
          <w:ilvl w:val="0"/>
          <w:numId w:val="1"/>
        </w:numPr>
        <w:spacing w:after="90" w:line="264"/>
      </w:pPr>
      <w:r>
        <w:t xml:space="preserve">The human submission gate (Gate 2) — the mandatory, always-on approval checkpoint before any submission leaves the system. As established in Section 8, this is a compliance requirement of the bug bounty platforms, not merely an internal safety choice. Chaitanya is the human in the loop, and the kill-switch capability (halt at any moment) is the floor of that role.</w:t>
      </w:r>
    </w:p>
    <w:p>
      <w:pPr>
        <w:pStyle w:val="ListParagraph"/>
        <w:numPr>
          <w:ilvl w:val="0"/>
          <w:numId w:val="1"/>
        </w:numPr>
        <w:spacing w:after="90" w:line="264"/>
      </w:pPr>
      <w:r>
        <w:t xml:space="preserve">The validation gate (Gate 1) — the deterministic-validator checkpoint that keeps false positives from ever reaching the human gate, both protecting platform standing and making the human gate scale.</w:t>
      </w:r>
    </w:p>
    <w:p>
      <w:pPr>
        <w:pStyle w:val="ListParagraph"/>
        <w:numPr>
          <w:ilvl w:val="0"/>
          <w:numId w:val="1"/>
        </w:numPr>
        <w:spacing w:after="90" w:line="264"/>
      </w:pPr>
      <w:r>
        <w:t xml:space="preserve">A written red-lines file — a list of prohibited actions that require explicit permission before Pluto may proceed, governing behavior during exploration between the gates, layered on top of the tool layer's otherwise broad shell and internet access.</w:t>
      </w:r>
    </w:p>
    <w:p>
      <w:pPr>
        <w:pStyle w:val="Heading2"/>
        <w:spacing w:after="150" w:before="300"/>
      </w:pPr>
      <w:r>
        <w:t xml:space="preserve">10.2 Why Broad Tool Access Plus Gates, Rather Than a Restricted Toolset</w:t>
      </w:r>
    </w:p>
    <w:p>
      <w:pPr>
        <w:spacing w:after="160" w:line="276"/>
      </w:pPr>
      <w:r>
        <w:rPr>
          <w:sz w:val="22"/>
          <w:szCs w:val="22"/>
        </w:rPr>
        <w:t xml:space="preserve">Pluto's tool layer intentionally grants shell and internet access rather than a fixed toolset (Section 2.3), in service of the exploration-first principle. Safety is enforced procedurally — through logging, the red-lines file, and the two gates — rather than by withholding capability. This mirrors where the field has moved: nearly every actively maintained framework surveyed has converged on an explicit scope-guard or hard-refusal mechanism layered on top of broad capability, plus (for those operating on real programs) a hard validation rule before anything counts as a finding.</w:t>
      </w:r>
    </w:p>
    <w:p>
      <w:pPr>
        <w:pStyle w:val="Heading2"/>
        <w:spacing w:after="150" w:before="300"/>
      </w:pPr>
      <w:r>
        <w:t xml:space="preserve">10.3 Reference Designs to Incorporate</w:t>
      </w:r>
    </w:p>
    <w:p>
      <w:pPr>
        <w:pStyle w:val="ListParagraph"/>
        <w:numPr>
          <w:ilvl w:val="0"/>
          <w:numId w:val="1"/>
        </w:numPr>
        <w:spacing w:after="90" w:line="264"/>
      </w:pPr>
      <w:r>
        <w:t xml:space="preserve">pentest-ai-agents' explicit hard-refusal list — denial-of-service, mass scanning, unattended self-propagation, false-flag operations, safety-of-life systems — is the most directly applicable template for Pluto's red-lines file.</w:t>
      </w:r>
    </w:p>
    <w:p>
      <w:pPr>
        <w:pStyle w:val="ListParagraph"/>
        <w:numPr>
          <w:ilvl w:val="0"/>
          <w:numId w:val="1"/>
        </w:numPr>
        <w:spacing w:after="90" w:line="264"/>
      </w:pPr>
      <w:r>
        <w:t xml:space="preserve">CyberStrike's 3-gate PoC validation is the model for Gate 1's deterministic validator, and XBOW's and Strix's 'no PoC, no finding' rule is the same discipline proven on real programs.</w:t>
      </w:r>
    </w:p>
    <w:p>
      <w:pPr>
        <w:pStyle w:val="ListParagraph"/>
        <w:numPr>
          <w:ilvl w:val="0"/>
          <w:numId w:val="1"/>
        </w:numPr>
        <w:spacing w:after="90" w:line="264"/>
      </w:pPr>
      <w:r>
        <w:t xml:space="preserve">CAI's guardrail research is a relevant caution: CAI's own paper documents the framework being compromised by encoding-obfuscated prompt injection despite active guardrails. Any internet-connected autonomous Pluto is itself a target for prompt injection from the systems it tests, and this should be treated as a first-class threat, not an afterthought.</w:t>
      </w:r>
    </w:p>
    <w:p>
      <w:pPr>
        <w:pStyle w:val="Heading2"/>
        <w:spacing w:after="150" w:before="300"/>
      </w:pPr>
      <w:r>
        <w:t xml:space="preserve">10.4 The Red-Lines File</w:t>
      </w:r>
    </w:p>
    <w:p>
      <w:pPr>
        <w:spacing w:after="160" w:line="276"/>
      </w:pPr>
      <w:r>
        <w:rPr>
          <w:sz w:val="22"/>
          <w:szCs w:val="22"/>
        </w:rPr>
        <w:t xml:space="preserve">The red-lines file is a flat list of prohibited actions, checked globally by the harness before any tool invocation proceeds. An action on this list is not merely deprioritized or logged more heavily — it is blocked outright until Chaitanya explicitly approves it, which is a materially stronger bar than the standard validated-finding or submission gates (Sections 3, 7). This is the direct template pentest-ai-agents' hard-refusal list provides, adapted to Pluto's own scope:</w:t>
      </w:r>
    </w:p>
    <w:p>
      <w:pPr>
        <w:pStyle w:val="ListParagraph"/>
        <w:numPr>
          <w:ilvl w:val="0"/>
          <w:numId w:val="1"/>
        </w:numPr>
        <w:spacing w:after="90" w:line="264"/>
      </w:pPr>
      <w:r>
        <w:t xml:space="preserve">Denial-of-service actions — anything whose primary or foreseeable effect is degrading target availability rather than testing it (resource-exhaustion floods, aggressive uncapped scanning against fragile targets).</w:t>
      </w:r>
    </w:p>
    <w:p>
      <w:pPr>
        <w:pStyle w:val="ListParagraph"/>
        <w:numPr>
          <w:ilvl w:val="0"/>
          <w:numId w:val="1"/>
        </w:numPr>
        <w:spacing w:after="90" w:line="264"/>
      </w:pPr>
      <w:r>
        <w:t xml:space="preserve">Mass or indiscriminate scanning outside an explicitly defined engagement scope — Pluto's scanning must stay bound to the targets.scope_notes for the current engagement (Section 8.4), never expanding opportunistically to adjacent or discovered-but-out-of-scope hosts.</w:t>
      </w:r>
    </w:p>
    <w:p>
      <w:pPr>
        <w:pStyle w:val="ListParagraph"/>
        <w:numPr>
          <w:ilvl w:val="0"/>
          <w:numId w:val="1"/>
        </w:numPr>
        <w:spacing w:after="90" w:line="264"/>
      </w:pPr>
      <w:r>
        <w:t xml:space="preserve">Unattended self-propagation — any action that would cause Pluto's own tooling or a delivered payload to spread beyond the specific host it was aimed at without a human re-approving each hop.</w:t>
      </w:r>
    </w:p>
    <w:p>
      <w:pPr>
        <w:pStyle w:val="ListParagraph"/>
        <w:numPr>
          <w:ilvl w:val="0"/>
          <w:numId w:val="1"/>
        </w:numPr>
        <w:spacing w:after="90" w:line="264"/>
      </w:pPr>
      <w:r>
        <w:t xml:space="preserve">False-flag or attribution-obscuring actions — deliberately forging attack indicators to implicate a third party, or removing/falsifying evidence in a way that would mislead the target's own incident responders.</w:t>
      </w:r>
    </w:p>
    <w:p>
      <w:pPr>
        <w:pStyle w:val="ListParagraph"/>
        <w:numPr>
          <w:ilvl w:val="0"/>
          <w:numId w:val="1"/>
        </w:numPr>
        <w:spacing w:after="90" w:line="264"/>
      </w:pPr>
      <w:r>
        <w:t xml:space="preserve">Actions against safety-of-life systems — any target class where a successful exploit or even a failed attempt could plausibly affect physical safety (medical devices, industrial control and SCADA systems, emergency services infrastructure), regardless of whether such a target is nominally in scope.</w:t>
      </w:r>
    </w:p>
    <w:p>
      <w:pPr>
        <w:pStyle w:val="ListParagraph"/>
        <w:numPr>
          <w:ilvl w:val="0"/>
          <w:numId w:val="1"/>
        </w:numPr>
        <w:spacing w:after="90" w:line="264"/>
      </w:pPr>
      <w:r>
        <w:t xml:space="preserve">Destructive or irreversible actions on the target — data deletion, ransomware-style encryption, disabling security controls, or any action without a documented rollback, as distinct from the custom payload generation in Section 2.3.2, which is permitted but logged and gated.</w:t>
      </w:r>
    </w:p>
    <w:p>
      <w:pPr>
        <w:pStyle w:val="ListParagraph"/>
        <w:numPr>
          <w:ilvl w:val="0"/>
          <w:numId w:val="1"/>
        </w:numPr>
        <w:spacing w:after="90" w:line="264"/>
      </w:pPr>
      <w:r>
        <w:t xml:space="preserve">Exfiltration or retention of real sensitive data beyond what is strictly needed as evidence for a finding — Pluto should prove access, not harvest and keep the data it accessed.</w:t>
      </w:r>
    </w:p>
    <w:p>
      <w:pPr>
        <w:spacing w:after="160" w:line="276"/>
      </w:pPr>
      <w:r>
        <w:rPr>
          <w:sz w:val="22"/>
          <w:szCs w:val="22"/>
        </w:rPr>
        <w:t xml:space="preserve">Mechanically, this is enforced as a pre-execution check the harness runs against every proposed tool invocation, independent of the specific gate that invocation would otherwise pass through — the check sits in front of the tool layer itself (Section 2.3), not inside any one validator or gate. The exact implementation inside Pi's extension system (where the check hooks into the tool-call path) is still an engineering detail to finalize, but the list itself is settled and should not wait on that engineering work. The check is injected into the main agent and propagates to every delegated sub-agent (Section 6.4) as well — any agent invoking a tool or running a query is checked against the same prohibited-actions list, not just the main reasoning core.</w:t>
      </w:r>
    </w:p>
    <w:p>
      <w:pPr>
        <w:pStyle w:val="Heading2"/>
        <w:spacing w:after="150" w:before="300"/>
      </w:pPr>
      <w:r>
        <w:t xml:space="preserve">10.5 Engagement Lifecycle</w:t>
      </w:r>
    </w:p>
    <w:p>
      <w:pPr>
        <w:spacing w:after="160" w:line="276"/>
      </w:pPr>
      <w:r>
        <w:rPr>
          <w:sz w:val="22"/>
          <w:szCs w:val="22"/>
        </w:rPr>
        <w:t xml:space="preserve">Everything specified so far governs what Pluto is allowed to do and how a finding gets validated. It says nothing about when an engagement against a given target should stop, pause, or be judged stuck — and left undefined, a continuously-running harness has no principled way to move on from a target, notice a target has gone unhealthy, or recognize it is circling rather than progressing.</w:t>
      </w:r>
    </w:p>
    <w:p>
      <w:pPr>
        <w:spacing w:after="160" w:line="276"/>
      </w:pPr>
      <w:r>
        <w:rPr>
          <w:sz w:val="22"/>
          <w:szCs w:val="22"/>
        </w:rPr>
        <w:t xml:space="preserve">The governing design principle, borrowed directly from XBOW's own stated approach, is that whether to keep going is not the reasoning core's own call to make. XBOW's architecture treats this explicitly: their system continuously monitors target health and auto-pauses on deterministic lifecycle rules, contrasted against a general-purpose model that recognized it was hitting a real production system and kept going anyway — exactly the failure mode this section guards against. This keeps engagement lifecycle in the same spirit as the two-gate model (Section 3): deterministic checks computed by the harness from the state schema, not judgment calls left to the reasoning core mid-task.</w:t>
      </w:r>
    </w:p>
    <w:p>
      <w:pPr>
        <w:spacing w:after="160" w:line="276"/>
      </w:pPr>
      <w:r>
        <w:rPr>
          <w:sz w:val="22"/>
          <w:szCs w:val="22"/>
        </w:rPr>
        <w:t xml:space="preserve">Pluto's engagement lifecycle rests on three deterministic mechanisms, all computed by the harness rather than reasoned about by the agent itself:</w:t>
      </w:r>
    </w:p>
    <w:p>
      <w:pPr>
        <w:pStyle w:val="ListParagraph"/>
        <w:numPr>
          <w:ilvl w:val="0"/>
          <w:numId w:val="1"/>
        </w:numPr>
        <w:spacing w:after="90" w:line="264"/>
      </w:pPr>
      <w:r>
        <w:rPr>
          <w:b/>
          <w:bCs/>
          <w:sz w:val="22"/>
          <w:szCs w:val="22"/>
        </w:rPr>
        <w:t xml:space="preserve">Hard caps: </w:t>
      </w:r>
      <w:r>
        <w:rPr>
          <w:sz w:val="22"/>
          <w:szCs w:val="22"/>
        </w:rPr>
        <w:t xml:space="preserve">a maximum wall-clock time and a maximum tool-call count per target engagement. Since Pluto runs on a subscription rather than metered API billing, these are the binding constraints rather than a dollar budget (contrast MAPTA, which caps on token/cost budget as well as time and tool calls). Hitting either cap force-stops the engagement with an explicit status, rather than allowing it to run indefinitely.</w:t>
      </w:r>
    </w:p>
    <w:p>
      <w:pPr>
        <w:pStyle w:val="ListParagraph"/>
        <w:numPr>
          <w:ilvl w:val="0"/>
          <w:numId w:val="1"/>
        </w:numPr>
        <w:spacing w:after="90" w:line="264"/>
      </w:pPr>
      <w:r>
        <w:rPr>
          <w:b/>
          <w:bCs/>
          <w:sz w:val="22"/>
          <w:szCs w:val="22"/>
        </w:rPr>
        <w:t xml:space="preserve">Environmental pause: </w:t>
      </w:r>
      <w:r>
        <w:rPr>
          <w:sz w:val="22"/>
          <w:szCs w:val="22"/>
        </w:rPr>
        <w:t xml:space="preserve">modeled on XBOW's health monitoring — the harness watches for signals that the target itself, not Pluto, is the problem: unresponsive, CAPTCHA-blocked, WAF-blocked, or account-locked. On any of these, the engagement auto-pauses and flags for review rather than continuing to burn its tool-call budget against a target that cannot currently be tested.</w:t>
      </w:r>
    </w:p>
    <w:p>
      <w:pPr>
        <w:pStyle w:val="ListParagraph"/>
        <w:numPr>
          <w:ilvl w:val="0"/>
          <w:numId w:val="1"/>
        </w:numPr>
        <w:spacing w:after="90" w:line="264"/>
      </w:pPr>
      <w:r>
        <w:rPr>
          <w:b/>
          <w:bCs/>
          <w:sz w:val="22"/>
          <w:szCs w:val="22"/>
        </w:rPr>
        <w:t xml:space="preserve">Stuck detection: </w:t>
      </w:r>
      <w:r>
        <w:rPr>
          <w:sz w:val="22"/>
          <w:szCs w:val="22"/>
        </w:rPr>
        <w:t xml:space="preserve">a signal distinct from both of the above, computed directly off the state tree (Section 4) — no new nodes created, or the same tool call repeated without a new result, over a rolling window. This does not force-stop the engagement immediately. It first triggers a knowledge base or skill lookup Pluto has not yet tried for the current line of attack (Section 6, Section 6.5); only if that fails to produce a new node does it escalate to Chaitanya rather than continue grinding.</w:t>
      </w:r>
    </w:p>
    <w:p>
      <w:pPr>
        <w:spacing w:after="160" w:line="276"/>
      </w:pPr>
      <w:r>
        <w:rPr>
          <w:sz w:val="22"/>
          <w:szCs w:val="22"/>
        </w:rPr>
        <w:t xml:space="preserve">Bypass and evasion attempts (Section 6.5.2) are deliberately not what stuck detection penalizes — a WAF block that triggers a bypass attempt is forward progress in the sense that matters here (a new technique being tried against a known obstacle), and should register as such rather than tripping the same detector that catches genuine repetition.</w:t>
      </w:r>
    </w:p>
    <w:p>
      <w:r>
        <w:br w:type="page"/>
      </w:r>
    </w:p>
    <w:p>
      <w:pPr>
        <w:pStyle w:val="Heading1"/>
        <w:spacing w:after="200" w:before="400"/>
      </w:pPr>
      <w:r>
        <w:t xml:space="preserve">11. VAPT Tool Survey (Reference Arsenal)</w:t>
      </w:r>
    </w:p>
    <w:p>
      <w:pPr>
        <w:spacing w:after="160" w:line="276"/>
      </w:pPr>
      <w:r>
        <w:rPr>
          <w:sz w:val="22"/>
          <w:szCs w:val="22"/>
        </w:rPr>
        <w:t xml:space="preserve">The aggregated arsenals of HexStrike AI (150+ tools) and CyberStrike (176+ MCP tools) serve as the practical reference points for a comprehensive VAPT tool set. Web and network are Pluto's initial focus (see Section 2.3 for the non-negotiable starting core); the remaining categories are recorded for future extensibility.</w:t>
      </w:r>
    </w:p>
    <w:p>
      <w:pPr>
        <w:pStyle w:val="Heading2"/>
        <w:spacing w:after="150" w:before="300"/>
      </w:pPr>
      <w:r>
        <w:t xml:space="preserve">11.1 Network VAPT (initial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2937" w:val="clear"/>
            <w:tcMar>
              <w:top w:type="dxa" w:w="80"/>
              <w:left w:type="dxa" w:w="100"/>
              <w:bottom w:type="dxa" w:w="80"/>
              <w:right w:type="dxa" w:w="100"/>
            </w:tcMar>
          </w:tcPr>
          <w:p>
            <w:r>
              <w:rPr>
                <w:b/>
                <w:bCs/>
                <w:color w:val="FFFFFF"/>
                <w:sz w:val="20"/>
                <w:szCs w:val="20"/>
              </w:rPr>
              <w:t xml:space="preserve">Tool</w:t>
            </w:r>
          </w:p>
        </w:tc>
        <w:tc>
          <w:tcPr>
            <w:tcW w:type="dxa" w:w="7360"/>
            <w:shd w:fill="1F2937" w:val="clear"/>
            <w:tcMar>
              <w:top w:type="dxa" w:w="80"/>
              <w:left w:type="dxa" w:w="100"/>
              <w:bottom w:type="dxa" w:w="80"/>
              <w:right w:type="dxa" w:w="100"/>
            </w:tcMar>
          </w:tcPr>
          <w:p>
            <w:r>
              <w:rPr>
                <w:b/>
                <w:bCs/>
                <w:color w:val="FFFFFF"/>
                <w:sz w:val="20"/>
                <w:szCs w:val="20"/>
              </w:rPr>
              <w:t xml:space="preserve">Role</w:t>
            </w:r>
          </w:p>
        </w:tc>
      </w:tr>
      <w:tr>
        <w:tc>
          <w:tcPr>
            <w:tcW w:type="dxa" w:w="2000"/>
            <w:tcMar>
              <w:top w:type="dxa" w:w="80"/>
              <w:left w:type="dxa" w:w="100"/>
              <w:bottom w:type="dxa" w:w="80"/>
              <w:right w:type="dxa" w:w="100"/>
            </w:tcMar>
          </w:tcPr>
          <w:p>
            <w:r>
              <w:rPr>
                <w:b w:val="false"/>
                <w:bCs w:val="false"/>
                <w:sz w:val="20"/>
                <w:szCs w:val="20"/>
              </w:rPr>
              <w:t xml:space="preserve">nmap</w:t>
            </w:r>
          </w:p>
        </w:tc>
        <w:tc>
          <w:tcPr>
            <w:tcW w:type="dxa" w:w="7360"/>
            <w:tcMar>
              <w:top w:type="dxa" w:w="80"/>
              <w:left w:type="dxa" w:w="100"/>
              <w:bottom w:type="dxa" w:w="80"/>
              <w:right w:type="dxa" w:w="100"/>
            </w:tcMar>
          </w:tcPr>
          <w:p>
            <w:r>
              <w:rPr>
                <w:b w:val="false"/>
                <w:bCs w:val="false"/>
                <w:sz w:val="20"/>
                <w:szCs w:val="20"/>
              </w:rPr>
              <w:t xml:space="preserve">Standard port scanner with service/version detection and NSE scripting; backbone of nearly every engagement</w:t>
            </w:r>
          </w:p>
        </w:tc>
      </w:tr>
      <w:tr>
        <w:tc>
          <w:tcPr>
            <w:tcW w:type="dxa" w:w="2000"/>
            <w:shd w:fill="F3F4F6" w:val="clear"/>
            <w:tcMar>
              <w:top w:type="dxa" w:w="80"/>
              <w:left w:type="dxa" w:w="100"/>
              <w:bottom w:type="dxa" w:w="80"/>
              <w:right w:type="dxa" w:w="100"/>
            </w:tcMar>
          </w:tcPr>
          <w:p>
            <w:r>
              <w:rPr>
                <w:b w:val="false"/>
                <w:bCs w:val="false"/>
                <w:sz w:val="20"/>
                <w:szCs w:val="20"/>
              </w:rPr>
              <w:t xml:space="preserve">masscan</w:t>
            </w:r>
          </w:p>
        </w:tc>
        <w:tc>
          <w:tcPr>
            <w:tcW w:type="dxa" w:w="7360"/>
            <w:shd w:fill="F3F4F6" w:val="clear"/>
            <w:tcMar>
              <w:top w:type="dxa" w:w="80"/>
              <w:left w:type="dxa" w:w="100"/>
              <w:bottom w:type="dxa" w:w="80"/>
              <w:right w:type="dxa" w:w="100"/>
            </w:tcMar>
          </w:tcPr>
          <w:p>
            <w:r>
              <w:rPr>
                <w:b w:val="false"/>
                <w:bCs w:val="false"/>
                <w:sz w:val="20"/>
                <w:szCs w:val="20"/>
              </w:rPr>
              <w:t xml:space="preserve">Internet-scale asynchronous port scanner; fastest option for huge address ranges</w:t>
            </w:r>
          </w:p>
        </w:tc>
      </w:tr>
      <w:tr>
        <w:tc>
          <w:tcPr>
            <w:tcW w:type="dxa" w:w="2000"/>
            <w:tcMar>
              <w:top w:type="dxa" w:w="80"/>
              <w:left w:type="dxa" w:w="100"/>
              <w:bottom w:type="dxa" w:w="80"/>
              <w:right w:type="dxa" w:w="100"/>
            </w:tcMar>
          </w:tcPr>
          <w:p>
            <w:r>
              <w:rPr>
                <w:b w:val="false"/>
                <w:bCs w:val="false"/>
                <w:sz w:val="20"/>
                <w:szCs w:val="20"/>
              </w:rPr>
              <w:t xml:space="preserve">rustscan</w:t>
            </w:r>
          </w:p>
        </w:tc>
        <w:tc>
          <w:tcPr>
            <w:tcW w:type="dxa" w:w="7360"/>
            <w:tcMar>
              <w:top w:type="dxa" w:w="80"/>
              <w:left w:type="dxa" w:w="100"/>
              <w:bottom w:type="dxa" w:w="80"/>
              <w:right w:type="dxa" w:w="100"/>
            </w:tcMar>
          </w:tcPr>
          <w:p>
            <w:r>
              <w:rPr>
                <w:b w:val="false"/>
                <w:bCs w:val="false"/>
                <w:sz w:val="20"/>
                <w:szCs w:val="20"/>
              </w:rPr>
              <w:t xml:space="preserve">Ultra-fast port scanner with intelligent rate-limiting, typically feeding into nmap</w:t>
            </w:r>
          </w:p>
        </w:tc>
      </w:tr>
      <w:tr>
        <w:tc>
          <w:tcPr>
            <w:tcW w:type="dxa" w:w="2000"/>
            <w:shd w:fill="F3F4F6" w:val="clear"/>
            <w:tcMar>
              <w:top w:type="dxa" w:w="80"/>
              <w:left w:type="dxa" w:w="100"/>
              <w:bottom w:type="dxa" w:w="80"/>
              <w:right w:type="dxa" w:w="100"/>
            </w:tcMar>
          </w:tcPr>
          <w:p>
            <w:r>
              <w:rPr>
                <w:b w:val="false"/>
                <w:bCs w:val="false"/>
                <w:sz w:val="20"/>
                <w:szCs w:val="20"/>
              </w:rPr>
              <w:t xml:space="preserve">naabu</w:t>
            </w:r>
          </w:p>
        </w:tc>
        <w:tc>
          <w:tcPr>
            <w:tcW w:type="dxa" w:w="7360"/>
            <w:shd w:fill="F3F4F6" w:val="clear"/>
            <w:tcMar>
              <w:top w:type="dxa" w:w="80"/>
              <w:left w:type="dxa" w:w="100"/>
              <w:bottom w:type="dxa" w:w="80"/>
              <w:right w:type="dxa" w:w="100"/>
            </w:tcMar>
          </w:tcPr>
          <w:p>
            <w:r>
              <w:rPr>
                <w:b w:val="false"/>
                <w:bCs w:val="false"/>
                <w:sz w:val="20"/>
                <w:szCs w:val="20"/>
              </w:rPr>
              <w:t xml:space="preserve">Fast, scriptable port scanner (ProjectDiscovery)</w:t>
            </w:r>
          </w:p>
        </w:tc>
      </w:tr>
      <w:tr>
        <w:tc>
          <w:tcPr>
            <w:tcW w:type="dxa" w:w="2000"/>
            <w:tcMar>
              <w:top w:type="dxa" w:w="80"/>
              <w:left w:type="dxa" w:w="100"/>
              <w:bottom w:type="dxa" w:w="80"/>
              <w:right w:type="dxa" w:w="100"/>
            </w:tcMar>
          </w:tcPr>
          <w:p>
            <w:r>
              <w:rPr>
                <w:b w:val="false"/>
                <w:bCs w:val="false"/>
                <w:sz w:val="20"/>
                <w:szCs w:val="20"/>
              </w:rPr>
              <w:t xml:space="preserve">amass / subfinder</w:t>
            </w:r>
          </w:p>
        </w:tc>
        <w:tc>
          <w:tcPr>
            <w:tcW w:type="dxa" w:w="7360"/>
            <w:tcMar>
              <w:top w:type="dxa" w:w="80"/>
              <w:left w:type="dxa" w:w="100"/>
              <w:bottom w:type="dxa" w:w="80"/>
              <w:right w:type="dxa" w:w="100"/>
            </w:tcMar>
          </w:tcPr>
          <w:p>
            <w:r>
              <w:rPr>
                <w:b w:val="false"/>
                <w:bCs w:val="false"/>
                <w:sz w:val="20"/>
                <w:szCs w:val="20"/>
              </w:rPr>
              <w:t xml:space="preserve">Subdomain enumeration / passive DNS</w:t>
            </w:r>
          </w:p>
        </w:tc>
      </w:tr>
      <w:tr>
        <w:tc>
          <w:tcPr>
            <w:tcW w:type="dxa" w:w="2000"/>
            <w:shd w:fill="F3F4F6" w:val="clear"/>
            <w:tcMar>
              <w:top w:type="dxa" w:w="80"/>
              <w:left w:type="dxa" w:w="100"/>
              <w:bottom w:type="dxa" w:w="80"/>
              <w:right w:type="dxa" w:w="100"/>
            </w:tcMar>
          </w:tcPr>
          <w:p>
            <w:r>
              <w:rPr>
                <w:b w:val="false"/>
                <w:bCs w:val="false"/>
                <w:sz w:val="20"/>
                <w:szCs w:val="20"/>
              </w:rPr>
              <w:t xml:space="preserve">httpx</w:t>
            </w:r>
          </w:p>
        </w:tc>
        <w:tc>
          <w:tcPr>
            <w:tcW w:type="dxa" w:w="7360"/>
            <w:shd w:fill="F3F4F6" w:val="clear"/>
            <w:tcMar>
              <w:top w:type="dxa" w:w="80"/>
              <w:left w:type="dxa" w:w="100"/>
              <w:bottom w:type="dxa" w:w="80"/>
              <w:right w:type="dxa" w:w="100"/>
            </w:tcMar>
          </w:tcPr>
          <w:p>
            <w:r>
              <w:rPr>
                <w:b w:val="false"/>
                <w:bCs w:val="false"/>
                <w:sz w:val="20"/>
                <w:szCs w:val="20"/>
              </w:rPr>
              <w:t xml:space="preserve">Fast HTTP probing and tech fingerprinting</w:t>
            </w:r>
          </w:p>
        </w:tc>
      </w:tr>
      <w:tr>
        <w:tc>
          <w:tcPr>
            <w:tcW w:type="dxa" w:w="2000"/>
            <w:tcMar>
              <w:top w:type="dxa" w:w="80"/>
              <w:left w:type="dxa" w:w="100"/>
              <w:bottom w:type="dxa" w:w="80"/>
              <w:right w:type="dxa" w:w="100"/>
            </w:tcMar>
          </w:tcPr>
          <w:p>
            <w:r>
              <w:rPr>
                <w:b w:val="false"/>
                <w:bCs w:val="false"/>
                <w:sz w:val="20"/>
                <w:szCs w:val="20"/>
              </w:rPr>
              <w:t xml:space="preserve">netexec (ex-CrackMapExec)</w:t>
            </w:r>
          </w:p>
        </w:tc>
        <w:tc>
          <w:tcPr>
            <w:tcW w:type="dxa" w:w="7360"/>
            <w:tcMar>
              <w:top w:type="dxa" w:w="80"/>
              <w:left w:type="dxa" w:w="100"/>
              <w:bottom w:type="dxa" w:w="80"/>
              <w:right w:type="dxa" w:w="100"/>
            </w:tcMar>
          </w:tcPr>
          <w:p>
            <w:r>
              <w:rPr>
                <w:b w:val="false"/>
                <w:bCs w:val="false"/>
                <w:sz w:val="20"/>
                <w:szCs w:val="20"/>
              </w:rPr>
              <w:t xml:space="preserve">Network service enumeration, attack, and post-exploitation</w:t>
            </w:r>
          </w:p>
        </w:tc>
      </w:tr>
      <w:tr>
        <w:tc>
          <w:tcPr>
            <w:tcW w:type="dxa" w:w="2000"/>
            <w:shd w:fill="F3F4F6" w:val="clear"/>
            <w:tcMar>
              <w:top w:type="dxa" w:w="80"/>
              <w:left w:type="dxa" w:w="100"/>
              <w:bottom w:type="dxa" w:w="80"/>
              <w:right w:type="dxa" w:w="100"/>
            </w:tcMar>
          </w:tcPr>
          <w:p>
            <w:r>
              <w:rPr>
                <w:b w:val="false"/>
                <w:bCs w:val="false"/>
                <w:sz w:val="20"/>
                <w:szCs w:val="20"/>
              </w:rPr>
              <w:t xml:space="preserve">Nuclei / Nessus / OpenVAS</w:t>
            </w:r>
          </w:p>
        </w:tc>
        <w:tc>
          <w:tcPr>
            <w:tcW w:type="dxa" w:w="7360"/>
            <w:shd w:fill="F3F4F6" w:val="clear"/>
            <w:tcMar>
              <w:top w:type="dxa" w:w="80"/>
              <w:left w:type="dxa" w:w="100"/>
              <w:bottom w:type="dxa" w:w="80"/>
              <w:right w:type="dxa" w:w="100"/>
            </w:tcMar>
          </w:tcPr>
          <w:p>
            <w:r>
              <w:rPr>
                <w:b w:val="false"/>
                <w:bCs w:val="false"/>
                <w:sz w:val="20"/>
                <w:szCs w:val="20"/>
              </w:rPr>
              <w:t xml:space="preserve">Template-based and traditional vulnerability scanning</w:t>
            </w:r>
          </w:p>
        </w:tc>
      </w:tr>
      <w:tr>
        <w:tc>
          <w:tcPr>
            <w:tcW w:type="dxa" w:w="2000"/>
            <w:tcMar>
              <w:top w:type="dxa" w:w="80"/>
              <w:left w:type="dxa" w:w="100"/>
              <w:bottom w:type="dxa" w:w="80"/>
              <w:right w:type="dxa" w:w="100"/>
            </w:tcMar>
          </w:tcPr>
          <w:p>
            <w:r>
              <w:rPr>
                <w:b w:val="false"/>
                <w:bCs w:val="false"/>
                <w:sz w:val="20"/>
                <w:szCs w:val="20"/>
              </w:rPr>
              <w:t xml:space="preserve">Metasploit Framework</w:t>
            </w:r>
          </w:p>
        </w:tc>
        <w:tc>
          <w:tcPr>
            <w:tcW w:type="dxa" w:w="7360"/>
            <w:tcMar>
              <w:top w:type="dxa" w:w="80"/>
              <w:left w:type="dxa" w:w="100"/>
              <w:bottom w:type="dxa" w:w="80"/>
              <w:right w:type="dxa" w:w="100"/>
            </w:tcMar>
          </w:tcPr>
          <w:p>
            <w:r>
              <w:rPr>
                <w:b w:val="false"/>
                <w:bCs w:val="false"/>
                <w:sz w:val="20"/>
                <w:szCs w:val="20"/>
              </w:rPr>
              <w:t xml:space="preserve">Standard exploitation framework</w:t>
            </w:r>
          </w:p>
        </w:tc>
      </w:tr>
    </w:tbl>
    <w:p>
      <w:pPr>
        <w:spacing w:before="200"/>
      </w:pPr>
    </w:p>
    <w:p>
      <w:pPr>
        <w:pStyle w:val="Heading2"/>
        <w:spacing w:after="150" w:before="300"/>
      </w:pPr>
      <w:r>
        <w:t xml:space="preserve">11.2 Web Application VAPT (initial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2937" w:val="clear"/>
            <w:tcMar>
              <w:top w:type="dxa" w:w="80"/>
              <w:left w:type="dxa" w:w="100"/>
              <w:bottom w:type="dxa" w:w="80"/>
              <w:right w:type="dxa" w:w="100"/>
            </w:tcMar>
          </w:tcPr>
          <w:p>
            <w:r>
              <w:rPr>
                <w:b/>
                <w:bCs/>
                <w:color w:val="FFFFFF"/>
                <w:sz w:val="20"/>
                <w:szCs w:val="20"/>
              </w:rPr>
              <w:t xml:space="preserve">Tool</w:t>
            </w:r>
          </w:p>
        </w:tc>
        <w:tc>
          <w:tcPr>
            <w:tcW w:type="dxa" w:w="7360"/>
            <w:shd w:fill="1F2937" w:val="clear"/>
            <w:tcMar>
              <w:top w:type="dxa" w:w="80"/>
              <w:left w:type="dxa" w:w="100"/>
              <w:bottom w:type="dxa" w:w="80"/>
              <w:right w:type="dxa" w:w="100"/>
            </w:tcMar>
          </w:tcPr>
          <w:p>
            <w:r>
              <w:rPr>
                <w:b/>
                <w:bCs/>
                <w:color w:val="FFFFFF"/>
                <w:sz w:val="20"/>
                <w:szCs w:val="20"/>
              </w:rPr>
              <w:t xml:space="preserve">Role</w:t>
            </w:r>
          </w:p>
        </w:tc>
      </w:tr>
      <w:tr>
        <w:tc>
          <w:tcPr>
            <w:tcW w:type="dxa" w:w="2000"/>
            <w:tcMar>
              <w:top w:type="dxa" w:w="80"/>
              <w:left w:type="dxa" w:w="100"/>
              <w:bottom w:type="dxa" w:w="80"/>
              <w:right w:type="dxa" w:w="100"/>
            </w:tcMar>
          </w:tcPr>
          <w:p>
            <w:r>
              <w:rPr>
                <w:b w:val="false"/>
                <w:bCs w:val="false"/>
                <w:sz w:val="20"/>
                <w:szCs w:val="20"/>
              </w:rPr>
              <w:t xml:space="preserve">gobuster / feroxbuster / ffuf / dirsearch</w:t>
            </w:r>
          </w:p>
        </w:tc>
        <w:tc>
          <w:tcPr>
            <w:tcW w:type="dxa" w:w="7360"/>
            <w:tcMar>
              <w:top w:type="dxa" w:w="80"/>
              <w:left w:type="dxa" w:w="100"/>
              <w:bottom w:type="dxa" w:w="80"/>
              <w:right w:type="dxa" w:w="100"/>
            </w:tcMar>
          </w:tcPr>
          <w:p>
            <w:r>
              <w:rPr>
                <w:b w:val="false"/>
                <w:bCs w:val="false"/>
                <w:sz w:val="20"/>
                <w:szCs w:val="20"/>
              </w:rPr>
              <w:t xml:space="preserve">Directory and content discovery</w:t>
            </w:r>
          </w:p>
        </w:tc>
      </w:tr>
      <w:tr>
        <w:tc>
          <w:tcPr>
            <w:tcW w:type="dxa" w:w="2000"/>
            <w:shd w:fill="F3F4F6" w:val="clear"/>
            <w:tcMar>
              <w:top w:type="dxa" w:w="80"/>
              <w:left w:type="dxa" w:w="100"/>
              <w:bottom w:type="dxa" w:w="80"/>
              <w:right w:type="dxa" w:w="100"/>
            </w:tcMar>
          </w:tcPr>
          <w:p>
            <w:r>
              <w:rPr>
                <w:b w:val="false"/>
                <w:bCs w:val="false"/>
                <w:sz w:val="20"/>
                <w:szCs w:val="20"/>
              </w:rPr>
              <w:t xml:space="preserve">katana / hakrawler / gau</w:t>
            </w:r>
          </w:p>
        </w:tc>
        <w:tc>
          <w:tcPr>
            <w:tcW w:type="dxa" w:w="7360"/>
            <w:shd w:fill="F3F4F6" w:val="clear"/>
            <w:tcMar>
              <w:top w:type="dxa" w:w="80"/>
              <w:left w:type="dxa" w:w="100"/>
              <w:bottom w:type="dxa" w:w="80"/>
              <w:right w:type="dxa" w:w="100"/>
            </w:tcMar>
          </w:tcPr>
          <w:p>
            <w:r>
              <w:rPr>
                <w:b w:val="false"/>
                <w:bCs w:val="false"/>
                <w:sz w:val="20"/>
                <w:szCs w:val="20"/>
              </w:rPr>
              <w:t xml:space="preserve">Crawling and URL harvesting</w:t>
            </w:r>
          </w:p>
        </w:tc>
      </w:tr>
      <w:tr>
        <w:tc>
          <w:tcPr>
            <w:tcW w:type="dxa" w:w="2000"/>
            <w:tcMar>
              <w:top w:type="dxa" w:w="80"/>
              <w:left w:type="dxa" w:w="100"/>
              <w:bottom w:type="dxa" w:w="80"/>
              <w:right w:type="dxa" w:w="100"/>
            </w:tcMar>
          </w:tcPr>
          <w:p>
            <w:r>
              <w:rPr>
                <w:b w:val="false"/>
                <w:bCs w:val="false"/>
                <w:sz w:val="20"/>
                <w:szCs w:val="20"/>
              </w:rPr>
              <w:t xml:space="preserve">Burp Suite / OWASP ZAP</w:t>
            </w:r>
          </w:p>
        </w:tc>
        <w:tc>
          <w:tcPr>
            <w:tcW w:type="dxa" w:w="7360"/>
            <w:tcMar>
              <w:top w:type="dxa" w:w="80"/>
              <w:left w:type="dxa" w:w="100"/>
              <w:bottom w:type="dxa" w:w="80"/>
              <w:right w:type="dxa" w:w="100"/>
            </w:tcMar>
          </w:tcPr>
          <w:p>
            <w:r>
              <w:rPr>
                <w:b w:val="false"/>
                <w:bCs w:val="false"/>
                <w:sz w:val="20"/>
                <w:szCs w:val="20"/>
              </w:rPr>
              <w:t xml:space="preserve">Intercepting proxy and vulnerability scanning</w:t>
            </w:r>
          </w:p>
        </w:tc>
      </w:tr>
      <w:tr>
        <w:tc>
          <w:tcPr>
            <w:tcW w:type="dxa" w:w="2000"/>
            <w:shd w:fill="F3F4F6" w:val="clear"/>
            <w:tcMar>
              <w:top w:type="dxa" w:w="80"/>
              <w:left w:type="dxa" w:w="100"/>
              <w:bottom w:type="dxa" w:w="80"/>
              <w:right w:type="dxa" w:w="100"/>
            </w:tcMar>
          </w:tcPr>
          <w:p>
            <w:r>
              <w:rPr>
                <w:b w:val="false"/>
                <w:bCs w:val="false"/>
                <w:sz w:val="20"/>
                <w:szCs w:val="20"/>
              </w:rPr>
              <w:t xml:space="preserve">nuclei</w:t>
            </w:r>
          </w:p>
        </w:tc>
        <w:tc>
          <w:tcPr>
            <w:tcW w:type="dxa" w:w="7360"/>
            <w:shd w:fill="F3F4F6" w:val="clear"/>
            <w:tcMar>
              <w:top w:type="dxa" w:w="80"/>
              <w:left w:type="dxa" w:w="100"/>
              <w:bottom w:type="dxa" w:w="80"/>
              <w:right w:type="dxa" w:w="100"/>
            </w:tcMar>
          </w:tcPr>
          <w:p>
            <w:r>
              <w:rPr>
                <w:b w:val="false"/>
                <w:bCs w:val="false"/>
                <w:sz w:val="20"/>
                <w:szCs w:val="20"/>
              </w:rPr>
              <w:t xml:space="preserve">Template-based vulnerability scanning</w:t>
            </w:r>
          </w:p>
        </w:tc>
      </w:tr>
      <w:tr>
        <w:tc>
          <w:tcPr>
            <w:tcW w:type="dxa" w:w="2000"/>
            <w:tcMar>
              <w:top w:type="dxa" w:w="80"/>
              <w:left w:type="dxa" w:w="100"/>
              <w:bottom w:type="dxa" w:w="80"/>
              <w:right w:type="dxa" w:w="100"/>
            </w:tcMar>
          </w:tcPr>
          <w:p>
            <w:r>
              <w:rPr>
                <w:b w:val="false"/>
                <w:bCs w:val="false"/>
                <w:sz w:val="20"/>
                <w:szCs w:val="20"/>
              </w:rPr>
              <w:t xml:space="preserve">sqlmap</w:t>
            </w:r>
          </w:p>
        </w:tc>
        <w:tc>
          <w:tcPr>
            <w:tcW w:type="dxa" w:w="7360"/>
            <w:tcMar>
              <w:top w:type="dxa" w:w="80"/>
              <w:left w:type="dxa" w:w="100"/>
              <w:bottom w:type="dxa" w:w="80"/>
              <w:right w:type="dxa" w:w="100"/>
            </w:tcMar>
          </w:tcPr>
          <w:p>
            <w:r>
              <w:rPr>
                <w:b w:val="false"/>
                <w:bCs w:val="false"/>
                <w:sz w:val="20"/>
                <w:szCs w:val="20"/>
              </w:rPr>
              <w:t xml:space="preserve">Automated SQL injection detection and database takeover</w:t>
            </w:r>
          </w:p>
        </w:tc>
      </w:tr>
      <w:tr>
        <w:tc>
          <w:tcPr>
            <w:tcW w:type="dxa" w:w="2000"/>
            <w:shd w:fill="F3F4F6" w:val="clear"/>
            <w:tcMar>
              <w:top w:type="dxa" w:w="80"/>
              <w:left w:type="dxa" w:w="100"/>
              <w:bottom w:type="dxa" w:w="80"/>
              <w:right w:type="dxa" w:w="100"/>
            </w:tcMar>
          </w:tcPr>
          <w:p>
            <w:r>
              <w:rPr>
                <w:b w:val="false"/>
                <w:bCs w:val="false"/>
                <w:sz w:val="20"/>
                <w:szCs w:val="20"/>
              </w:rPr>
              <w:t xml:space="preserve">dalfox</w:t>
            </w:r>
          </w:p>
        </w:tc>
        <w:tc>
          <w:tcPr>
            <w:tcW w:type="dxa" w:w="7360"/>
            <w:shd w:fill="F3F4F6" w:val="clear"/>
            <w:tcMar>
              <w:top w:type="dxa" w:w="80"/>
              <w:left w:type="dxa" w:w="100"/>
              <w:bottom w:type="dxa" w:w="80"/>
              <w:right w:type="dxa" w:w="100"/>
            </w:tcMar>
          </w:tcPr>
          <w:p>
            <w:r>
              <w:rPr>
                <w:b w:val="false"/>
                <w:bCs w:val="false"/>
                <w:sz w:val="20"/>
                <w:szCs w:val="20"/>
              </w:rPr>
              <w:t xml:space="preserve">Advanced XSS detection with DOM analysis</w:t>
            </w:r>
          </w:p>
        </w:tc>
      </w:tr>
      <w:tr>
        <w:tc>
          <w:tcPr>
            <w:tcW w:type="dxa" w:w="2000"/>
            <w:tcMar>
              <w:top w:type="dxa" w:w="80"/>
              <w:left w:type="dxa" w:w="100"/>
              <w:bottom w:type="dxa" w:w="80"/>
              <w:right w:type="dxa" w:w="100"/>
            </w:tcMar>
          </w:tcPr>
          <w:p>
            <w:r>
              <w:rPr>
                <w:b w:val="false"/>
                <w:bCs w:val="false"/>
                <w:sz w:val="20"/>
                <w:szCs w:val="20"/>
              </w:rPr>
              <w:t xml:space="preserve">nikto / wpscan / wafw00f</w:t>
            </w:r>
          </w:p>
        </w:tc>
        <w:tc>
          <w:tcPr>
            <w:tcW w:type="dxa" w:w="7360"/>
            <w:tcMar>
              <w:top w:type="dxa" w:w="80"/>
              <w:left w:type="dxa" w:w="100"/>
              <w:bottom w:type="dxa" w:w="80"/>
              <w:right w:type="dxa" w:w="100"/>
            </w:tcMar>
          </w:tcPr>
          <w:p>
            <w:r>
              <w:rPr>
                <w:b w:val="false"/>
                <w:bCs w:val="false"/>
                <w:sz w:val="20"/>
                <w:szCs w:val="20"/>
              </w:rPr>
              <w:t xml:space="preserve">Web-server, WordPress, and WAF fingerprinting</w:t>
            </w:r>
          </w:p>
        </w:tc>
      </w:tr>
    </w:tbl>
    <w:p>
      <w:pPr>
        <w:spacing w:before="200"/>
      </w:pPr>
    </w:p>
    <w:p>
      <w:pPr>
        <w:pStyle w:val="Heading2"/>
        <w:spacing w:after="150" w:before="300"/>
      </w:pPr>
      <w:r>
        <w:t xml:space="preserve">11.3 Credentials, RE, AD, and Future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2937" w:val="clear"/>
            <w:tcMar>
              <w:top w:type="dxa" w:w="80"/>
              <w:left w:type="dxa" w:w="100"/>
              <w:bottom w:type="dxa" w:w="80"/>
              <w:right w:type="dxa" w:w="100"/>
            </w:tcMar>
          </w:tcPr>
          <w:p>
            <w:r>
              <w:rPr>
                <w:b/>
                <w:bCs/>
                <w:color w:val="FFFFFF"/>
                <w:sz w:val="20"/>
                <w:szCs w:val="20"/>
              </w:rPr>
              <w:t xml:space="preserve">Category</w:t>
            </w:r>
          </w:p>
        </w:tc>
        <w:tc>
          <w:tcPr>
            <w:tcW w:type="dxa" w:w="7160"/>
            <w:shd w:fill="1F2937" w:val="clear"/>
            <w:tcMar>
              <w:top w:type="dxa" w:w="80"/>
              <w:left w:type="dxa" w:w="100"/>
              <w:bottom w:type="dxa" w:w="80"/>
              <w:right w:type="dxa" w:w="100"/>
            </w:tcMar>
          </w:tcPr>
          <w:p>
            <w:r>
              <w:rPr>
                <w:b/>
                <w:bCs/>
                <w:color w:val="FFFFFF"/>
                <w:sz w:val="20"/>
                <w:szCs w:val="20"/>
              </w:rPr>
              <w:t xml:space="preserve">Representative Tools</w:t>
            </w:r>
          </w:p>
        </w:tc>
      </w:tr>
      <w:tr>
        <w:tc>
          <w:tcPr>
            <w:tcW w:type="dxa" w:w="2200"/>
            <w:tcMar>
              <w:top w:type="dxa" w:w="80"/>
              <w:left w:type="dxa" w:w="100"/>
              <w:bottom w:type="dxa" w:w="80"/>
              <w:right w:type="dxa" w:w="100"/>
            </w:tcMar>
          </w:tcPr>
          <w:p>
            <w:r>
              <w:rPr>
                <w:b w:val="false"/>
                <w:bCs w:val="false"/>
                <w:sz w:val="20"/>
                <w:szCs w:val="20"/>
              </w:rPr>
              <w:t xml:space="preserve">Credential attacks</w:t>
            </w:r>
          </w:p>
        </w:tc>
        <w:tc>
          <w:tcPr>
            <w:tcW w:type="dxa" w:w="7160"/>
            <w:tcMar>
              <w:top w:type="dxa" w:w="80"/>
              <w:left w:type="dxa" w:w="100"/>
              <w:bottom w:type="dxa" w:w="80"/>
              <w:right w:type="dxa" w:w="100"/>
            </w:tcMar>
          </w:tcPr>
          <w:p>
            <w:r>
              <w:rPr>
                <w:b w:val="false"/>
                <w:bCs w:val="false"/>
                <w:sz w:val="20"/>
                <w:szCs w:val="20"/>
              </w:rPr>
              <w:t xml:space="preserve">hydra / medusa / ncrack, John the Ripper, hashcat, NetExec, evil-winrm</w:t>
            </w:r>
          </w:p>
        </w:tc>
      </w:tr>
      <w:tr>
        <w:tc>
          <w:tcPr>
            <w:tcW w:type="dxa" w:w="2200"/>
            <w:shd w:fill="F3F4F6" w:val="clear"/>
            <w:tcMar>
              <w:top w:type="dxa" w:w="80"/>
              <w:left w:type="dxa" w:w="100"/>
              <w:bottom w:type="dxa" w:w="80"/>
              <w:right w:type="dxa" w:w="100"/>
            </w:tcMar>
          </w:tcPr>
          <w:p>
            <w:r>
              <w:rPr>
                <w:b w:val="false"/>
                <w:bCs w:val="false"/>
                <w:sz w:val="20"/>
                <w:szCs w:val="20"/>
              </w:rPr>
              <w:t xml:space="preserve">Binary / RE</w:t>
            </w:r>
          </w:p>
        </w:tc>
        <w:tc>
          <w:tcPr>
            <w:tcW w:type="dxa" w:w="7160"/>
            <w:shd w:fill="F3F4F6" w:val="clear"/>
            <w:tcMar>
              <w:top w:type="dxa" w:w="80"/>
              <w:left w:type="dxa" w:w="100"/>
              <w:bottom w:type="dxa" w:w="80"/>
              <w:right w:type="dxa" w:w="100"/>
            </w:tcMar>
          </w:tcPr>
          <w:p>
            <w:r>
              <w:rPr>
                <w:b w:val="false"/>
                <w:bCs w:val="false"/>
                <w:sz w:val="20"/>
                <w:szCs w:val="20"/>
              </w:rPr>
              <w:t xml:space="preserve">Ghidra, radare2, gdb (pwndbg/GEF), binwalk, pwntools / angr</w:t>
            </w:r>
          </w:p>
        </w:tc>
      </w:tr>
      <w:tr>
        <w:tc>
          <w:tcPr>
            <w:tcW w:type="dxa" w:w="2200"/>
            <w:tcMar>
              <w:top w:type="dxa" w:w="80"/>
              <w:left w:type="dxa" w:w="100"/>
              <w:bottom w:type="dxa" w:w="80"/>
              <w:right w:type="dxa" w:w="100"/>
            </w:tcMar>
          </w:tcPr>
          <w:p>
            <w:r>
              <w:rPr>
                <w:b w:val="false"/>
                <w:bCs w:val="false"/>
                <w:sz w:val="20"/>
                <w:szCs w:val="20"/>
              </w:rPr>
              <w:t xml:space="preserve">Active Directory</w:t>
            </w:r>
          </w:p>
        </w:tc>
        <w:tc>
          <w:tcPr>
            <w:tcW w:type="dxa" w:w="7160"/>
            <w:tcMar>
              <w:top w:type="dxa" w:w="80"/>
              <w:left w:type="dxa" w:w="100"/>
              <w:bottom w:type="dxa" w:w="80"/>
              <w:right w:type="dxa" w:w="100"/>
            </w:tcMar>
          </w:tcPr>
          <w:p>
            <w:r>
              <w:rPr>
                <w:b w:val="false"/>
                <w:bCs w:val="false"/>
                <w:sz w:val="20"/>
                <w:szCs w:val="20"/>
              </w:rPr>
              <w:t xml:space="preserve">BloodHound (+ SharpHound), Impacket, Kerbrute, evil-winrm, mimikatz / Rubeus</w:t>
            </w:r>
          </w:p>
        </w:tc>
      </w:tr>
      <w:tr>
        <w:tc>
          <w:tcPr>
            <w:tcW w:type="dxa" w:w="2200"/>
            <w:shd w:fill="F3F4F6" w:val="clear"/>
            <w:tcMar>
              <w:top w:type="dxa" w:w="80"/>
              <w:left w:type="dxa" w:w="100"/>
              <w:bottom w:type="dxa" w:w="80"/>
              <w:right w:type="dxa" w:w="100"/>
            </w:tcMar>
          </w:tcPr>
          <w:p>
            <w:r>
              <w:rPr>
                <w:b w:val="false"/>
                <w:bCs w:val="false"/>
                <w:sz w:val="20"/>
                <w:szCs w:val="20"/>
              </w:rPr>
              <w:t xml:space="preserve">Cloud</w:t>
            </w:r>
          </w:p>
        </w:tc>
        <w:tc>
          <w:tcPr>
            <w:tcW w:type="dxa" w:w="7160"/>
            <w:shd w:fill="F3F4F6" w:val="clear"/>
            <w:tcMar>
              <w:top w:type="dxa" w:w="80"/>
              <w:left w:type="dxa" w:w="100"/>
              <w:bottom w:type="dxa" w:w="80"/>
              <w:right w:type="dxa" w:w="100"/>
            </w:tcMar>
          </w:tcPr>
          <w:p>
            <w:r>
              <w:rPr>
                <w:b w:val="false"/>
                <w:bCs w:val="false"/>
                <w:sz w:val="20"/>
                <w:szCs w:val="20"/>
              </w:rPr>
              <w:t xml:space="preserve">Prowler, ScoutSuite, Pacu, Trivy, kube-hunter / kube-bench</w:t>
            </w:r>
          </w:p>
        </w:tc>
      </w:tr>
      <w:tr>
        <w:tc>
          <w:tcPr>
            <w:tcW w:type="dxa" w:w="2200"/>
            <w:tcMar>
              <w:top w:type="dxa" w:w="80"/>
              <w:left w:type="dxa" w:w="100"/>
              <w:bottom w:type="dxa" w:w="80"/>
              <w:right w:type="dxa" w:w="100"/>
            </w:tcMar>
          </w:tcPr>
          <w:p>
            <w:r>
              <w:rPr>
                <w:b w:val="false"/>
                <w:bCs w:val="false"/>
                <w:sz w:val="20"/>
                <w:szCs w:val="20"/>
              </w:rPr>
              <w:t xml:space="preserve">Mobile</w:t>
            </w:r>
          </w:p>
        </w:tc>
        <w:tc>
          <w:tcPr>
            <w:tcW w:type="dxa" w:w="7160"/>
            <w:tcMar>
              <w:top w:type="dxa" w:w="80"/>
              <w:left w:type="dxa" w:w="100"/>
              <w:bottom w:type="dxa" w:w="80"/>
              <w:right w:type="dxa" w:w="100"/>
            </w:tcMar>
          </w:tcPr>
          <w:p>
            <w:r>
              <w:rPr>
                <w:b w:val="false"/>
                <w:bCs w:val="false"/>
                <w:sz w:val="20"/>
                <w:szCs w:val="20"/>
              </w:rPr>
              <w:t xml:space="preserve">MobSF, Frida, Objection, jadx, apktool (OWASP MASTG / MASVS)</w:t>
            </w:r>
          </w:p>
        </w:tc>
      </w:tr>
      <w:tr>
        <w:tc>
          <w:tcPr>
            <w:tcW w:type="dxa" w:w="2200"/>
            <w:shd w:fill="F3F4F6" w:val="clear"/>
            <w:tcMar>
              <w:top w:type="dxa" w:w="80"/>
              <w:left w:type="dxa" w:w="100"/>
              <w:bottom w:type="dxa" w:w="80"/>
              <w:right w:type="dxa" w:w="100"/>
            </w:tcMar>
          </w:tcPr>
          <w:p>
            <w:r>
              <w:rPr>
                <w:b w:val="false"/>
                <w:bCs w:val="false"/>
                <w:sz w:val="20"/>
                <w:szCs w:val="20"/>
              </w:rPr>
              <w:t xml:space="preserve">Wireless</w:t>
            </w:r>
          </w:p>
        </w:tc>
        <w:tc>
          <w:tcPr>
            <w:tcW w:type="dxa" w:w="7160"/>
            <w:shd w:fill="F3F4F6" w:val="clear"/>
            <w:tcMar>
              <w:top w:type="dxa" w:w="80"/>
              <w:left w:type="dxa" w:w="100"/>
              <w:bottom w:type="dxa" w:w="80"/>
              <w:right w:type="dxa" w:w="100"/>
            </w:tcMar>
          </w:tcPr>
          <w:p>
            <w:r>
              <w:rPr>
                <w:b w:val="false"/>
                <w:bCs w:val="false"/>
                <w:sz w:val="20"/>
                <w:szCs w:val="20"/>
              </w:rPr>
              <w:t xml:space="preserve">aircrack-ng, hcxdumptool / hcxtools, bettercap, wifite</w:t>
            </w:r>
          </w:p>
        </w:tc>
      </w:tr>
      <w:tr>
        <w:tc>
          <w:tcPr>
            <w:tcW w:type="dxa" w:w="2200"/>
            <w:tcMar>
              <w:top w:type="dxa" w:w="80"/>
              <w:left w:type="dxa" w:w="100"/>
              <w:bottom w:type="dxa" w:w="80"/>
              <w:right w:type="dxa" w:w="100"/>
            </w:tcMar>
          </w:tcPr>
          <w:p>
            <w:r>
              <w:rPr>
                <w:b w:val="false"/>
                <w:bCs w:val="false"/>
                <w:sz w:val="20"/>
                <w:szCs w:val="20"/>
              </w:rPr>
              <w:t xml:space="preserve">OSINT / recon</w:t>
            </w:r>
          </w:p>
        </w:tc>
        <w:tc>
          <w:tcPr>
            <w:tcW w:type="dxa" w:w="7160"/>
            <w:tcMar>
              <w:top w:type="dxa" w:w="80"/>
              <w:left w:type="dxa" w:w="100"/>
              <w:bottom w:type="dxa" w:w="80"/>
              <w:right w:type="dxa" w:w="100"/>
            </w:tcMar>
          </w:tcPr>
          <w:p>
            <w:r>
              <w:rPr>
                <w:b w:val="false"/>
                <w:bCs w:val="false"/>
                <w:sz w:val="20"/>
                <w:szCs w:val="20"/>
              </w:rPr>
              <w:t xml:space="preserve">Maltego, SpiderFoot, Recon-ng, theHarvester, Shodan / Censys, BBOT</w:t>
            </w:r>
          </w:p>
        </w:tc>
      </w:tr>
    </w:tbl>
    <w:p>
      <w:r>
        <w:br w:type="page"/>
      </w:r>
    </w:p>
    <w:p>
      <w:pPr>
        <w:pStyle w:val="Heading1"/>
        <w:spacing w:after="200" w:before="400"/>
      </w:pPr>
      <w:r>
        <w:t xml:space="preserve">12. Recommendations</w:t>
      </w:r>
    </w:p>
    <w:p>
      <w:pPr>
        <w:pStyle w:val="ListParagraph"/>
        <w:numPr>
          <w:ilvl w:val="0"/>
          <w:numId w:val="1"/>
        </w:numPr>
        <w:spacing w:after="90" w:line="264"/>
      </w:pPr>
      <w:r>
        <w:t xml:space="preserve">Build the two gates first. The validation gate and the human submission gate are the load-bearing elements of both compliance and quality. Everything else — tool breadth, KB richness — is an enhancement on top of a system that must never report or submit an unvalidated finding.</w:t>
      </w:r>
    </w:p>
    <w:p>
      <w:pPr>
        <w:pStyle w:val="ListParagraph"/>
        <w:numPr>
          <w:ilvl w:val="0"/>
          <w:numId w:val="1"/>
        </w:numPr>
        <w:spacing w:after="90" w:line="264"/>
      </w:pPr>
      <w:r>
        <w:t xml:space="preserve">Realize the state schema (Section 4) as Pluto's first substantial modification to Pi, since Pi's coding-agent memory is the part least suited to security work and the part now most concretely specified.</w:t>
      </w:r>
    </w:p>
    <w:p>
      <w:pPr>
        <w:pStyle w:val="ListParagraph"/>
        <w:numPr>
          <w:ilvl w:val="0"/>
          <w:numId w:val="1"/>
        </w:numPr>
        <w:spacing w:after="90" w:line="264"/>
      </w:pPr>
      <w:r>
        <w:t xml:space="preserve">Anchor the tool layer on the near-universal web + network core (Section 2.3) and expand only when recon coverage gaps appear in practice.</w:t>
      </w:r>
    </w:p>
    <w:p>
      <w:pPr>
        <w:pStyle w:val="ListParagraph"/>
        <w:numPr>
          <w:ilvl w:val="0"/>
          <w:numId w:val="1"/>
        </w:numPr>
        <w:spacing w:after="90" w:line="264"/>
      </w:pPr>
      <w:r>
        <w:t xml:space="preserve">For the seeded KB tier, adopt LLM4Pentest's four-source model (PentestMonkey, CAPEC, OWASP WSTG, CISA KEV) as the proven starting corpus, and wire the automatic fingerprint-triggered query described in Section 2.5.</w:t>
      </w:r>
    </w:p>
    <w:p>
      <w:pPr>
        <w:pStyle w:val="ListParagraph"/>
        <w:numPr>
          <w:ilvl w:val="0"/>
          <w:numId w:val="1"/>
        </w:numPr>
        <w:spacing w:after="90" w:line="264"/>
      </w:pPr>
      <w:r>
        <w:t xml:space="preserve">Study CyberStrike's 3-gate validation and pentest-ai-agents' hard-refusal scope guard closely — the strongest anti-false-positive and safety templates in the survey, and the direct models for Gate 1 and the red-lines file.</w:t>
      </w:r>
    </w:p>
    <w:p>
      <w:pPr>
        <w:pStyle w:val="ListParagraph"/>
        <w:numPr>
          <w:ilvl w:val="0"/>
          <w:numId w:val="1"/>
        </w:numPr>
        <w:spacing w:after="90" w:line="264"/>
      </w:pPr>
      <w:r>
        <w:t xml:space="preserve">Treat business-logic and creative-chaining as the genuine frontier, not an early win — even the strongest agents surveyed still lose to top humans there.</w:t>
      </w:r>
    </w:p>
    <w:p>
      <w:pPr>
        <w:pStyle w:val="ListParagraph"/>
        <w:numPr>
          <w:ilvl w:val="0"/>
          <w:numId w:val="1"/>
        </w:numPr>
        <w:spacing w:after="90" w:line="264"/>
      </w:pPr>
      <w:r>
        <w:t xml:space="preserve">Because Pluto is Claude-based and forked from Pi, prioritize the four closest reference designs when working through implementation detail: PentestGPT v1.0, CyberStrike, pentest-ai-agents, and Pentest-Swarm-AI.</w:t>
      </w:r>
    </w:p>
    <w:p>
      <w:pPr>
        <w:pStyle w:val="ListParagraph"/>
        <w:numPr>
          <w:ilvl w:val="0"/>
          <w:numId w:val="1"/>
        </w:numPr>
        <w:spacing w:after="90" w:line="264"/>
      </w:pPr>
      <w:r>
        <w:t xml:space="preserve">Enter live programs via the conservative Stage 1–4 roadmap (Section 8.6), starting with VDPs and defaulting to the strictest reasonable rate interpretation when a program's policy is unspecified.</w:t>
      </w:r>
    </w:p>
    <w:p>
      <w:r>
        <w:br w:type="page"/>
      </w:r>
    </w:p>
    <w:p>
      <w:pPr>
        <w:pStyle w:val="Heading1"/>
        <w:spacing w:after="200" w:before="400"/>
      </w:pPr>
      <w:r>
        <w:t xml:space="preserve">13. Open Items &amp; Next Steps</w:t>
      </w:r>
    </w:p>
    <w:p>
      <w:pPr>
        <w:spacing w:after="160" w:line="276"/>
      </w:pPr>
      <w:r>
        <w:rPr>
          <w:sz w:val="22"/>
          <w:szCs w:val="22"/>
        </w:rPr>
        <w:t xml:space="preserve">Several items from v1.0 are now resolved into the design above. The state schema is specified (Section 4); the observation loop's validation responsibility and stall detector are defined (Section 2.4); the human gate's role is settled as a compliance-required, always-on submission gate (Sections 3, 7, 9). The following remain open and are the next round of design work:</w:t>
      </w:r>
    </w:p>
    <w:p>
      <w:pPr>
        <w:pStyle w:val="ListParagraph"/>
        <w:numPr>
          <w:ilvl w:val="0"/>
          <w:numId w:val="1"/>
        </w:numPr>
        <w:spacing w:after="90" w:line="264"/>
      </w:pPr>
      <w:r>
        <w:t xml:space="preserve">Precise hook point for the red-lines pre-execution check inside Pi's extension system (the list itself is finalized in Section 10.4).</w:t>
      </w:r>
    </w:p>
    <w:p>
      <w:pPr>
        <w:pStyle w:val="ListParagraph"/>
        <w:numPr>
          <w:ilvl w:val="0"/>
          <w:numId w:val="1"/>
        </w:numPr>
        <w:spacing w:after="90" w:line="264"/>
      </w:pPr>
      <w:r>
        <w:t xml:space="preserve">AGPL-3.0 licensing implications (CyberStrike, Pentest-Swarm-AI) if any code is reused directly, versus studied only as a design reference.</w:t>
      </w:r>
    </w:p>
    <w:p>
      <w:pPr>
        <w:pStyle w:val="ListParagraph"/>
        <w:numPr>
          <w:ilvl w:val="0"/>
          <w:numId w:val="1"/>
        </w:numPr>
        <w:spacing w:after="90" w:line="264"/>
      </w:pPr>
      <w:r>
        <w:t xml:space="preserve">Retention and export format for the state DB after an engagement closes, feeding the self-learned KB tier (Section 4.6.1).</w:t>
      </w:r>
    </w:p>
    <w:p>
      <w:pPr>
        <w:spacing w:after="200" w:line="264"/>
      </w:pPr>
      <w:r>
        <w:rPr>
          <w:i/>
          <w:iCs/>
          <w:color w:val="6B7280"/>
          <w:sz w:val="20"/>
          <w:szCs w:val="20"/>
        </w:rPr>
        <w:t xml:space="preserve">This document is the living, single reference point for Cyber Pluto's technical direction, and will be updated as these items resolve into concrete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Pluto — Architecture &amp; Design Reference v2.0</dc:title>
  <dc:creator>Chaitanya, CTO, Cyber Pluto</dc:creator>
  <cp:lastModifiedBy>Un-named</cp:lastModifiedBy>
  <cp:revision>1</cp:revision>
  <dcterms:created xsi:type="dcterms:W3CDTF">2026-09-12T15:07:19.583Z</dcterms:created>
  <dcterms:modified xsi:type="dcterms:W3CDTF">2026-09-12T15:07:19.583Z</dcterms:modified>
</cp:coreProperties>
</file>

<file path=docProps/custom.xml><?xml version="1.0" encoding="utf-8"?>
<Properties xmlns="http://schemas.openxmlformats.org/officeDocument/2006/custom-properties" xmlns:vt="http://schemas.openxmlformats.org/officeDocument/2006/docPropsVTypes"/>
</file>