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03:20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Room 10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All PC^2 teams; Client; Tom Capaul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Meeting with client via Google Hangouts (the entire class)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Client is setting up Git repos for everyone (Jan. 30 evening);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Credentials will be distributed after forms are signed;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Pushed code from us will be reviewed by the Client’s devteam;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Our project doesn’t need to worry about the interface shared by other teams;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 for the PC^2 devteam: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pc2@ecs.csus.edu</w:t>
        </w:r>
      </w:hyperlink>
      <w:r w:rsidDel="00000000" w:rsidR="00000000" w:rsidRPr="00000000">
        <w:rPr>
          <w:rtl w:val="0"/>
        </w:rPr>
        <w:t xml:space="preserve"> (more technical questions may be directed here -- client will also receive this communication)</w:t>
        <w:br w:type="textWrapping"/>
        <w:t xml:space="preserve">Doug Lane, Troy Boudreau, Sam Ashoo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Wait for git repo creds from the client.. Test them upon receipt;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Meeting: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column in devops (make sure everyone knows about this)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c2@ecs.csu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