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Coding Guidelines</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56"/>
          <w:szCs w:val="56"/>
        </w:rPr>
      </w:pPr>
      <w:r w:rsidDel="00000000" w:rsidR="00000000" w:rsidRPr="00000000">
        <w:rPr>
          <w:b w:val="1"/>
          <w:sz w:val="56"/>
          <w:szCs w:val="56"/>
          <w:rtl w:val="0"/>
        </w:rPr>
        <w:t xml:space="preserve">PC</w:t>
      </w:r>
      <w:r w:rsidDel="00000000" w:rsidR="00000000" w:rsidRPr="00000000">
        <w:rPr>
          <w:b w:val="1"/>
          <w:sz w:val="56"/>
          <w:szCs w:val="56"/>
          <w:vertAlign w:val="superscript"/>
          <w:rtl w:val="0"/>
        </w:rPr>
        <w:t xml:space="preserve">2</w:t>
      </w:r>
      <w:r w:rsidDel="00000000" w:rsidR="00000000" w:rsidRPr="00000000">
        <w:rPr>
          <w:b w:val="1"/>
          <w:sz w:val="56"/>
          <w:szCs w:val="56"/>
          <w:rtl w:val="0"/>
        </w:rPr>
        <w:t xml:space="preserve"> Web Team Interface</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2.0</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w:t>
        <w:br w:type="textWrapping"/>
        <w:t xml:space="preserve">Josie Isaacson</w:t>
        <w:br w:type="textWrapping"/>
        <w:t xml:space="preserve">Andrew Combs</w:t>
        <w:br w:type="textWrapping"/>
        <w:t xml:space="preserve">Ethan Holman</w:t>
        <w:br w:type="textWrapping"/>
        <w:t xml:space="preserve">Danielle Frodge</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EWU CS Department</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Winter 2019/Spring 2019</w:t>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A">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B">
      <w:pPr>
        <w:pStyle w:val="Title"/>
        <w:jc w:val="center"/>
        <w:rPr/>
      </w:pPr>
      <w:bookmarkStart w:colFirst="0" w:colLast="0" w:name="_bkjefuiydf5f" w:id="0"/>
      <w:bookmarkEnd w:id="0"/>
      <w:r w:rsidDel="00000000" w:rsidR="00000000" w:rsidRPr="00000000">
        <w:rPr>
          <w:rtl w:val="0"/>
        </w:rPr>
        <w:t xml:space="preserve">Table of Contents</w:t>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edy80taiw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_yedy80taiwb8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vunx2inkj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WTI UI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_xvunx2inkjyt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1weeug1mf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_91weeug1mfwz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balhfgx8n5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WTI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_abalhfgx8n5k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bcxxsfdzt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_tbcxxsfdztc4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92px3ogc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Swagger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_uu92px3ogcga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tya6ea6tz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_2tya6ea6tzgs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p4450lkch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Guidelines and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_9p4450lkchoy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qi7gxjn8b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_mqi7gxjn8bav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jt5p3aker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_1jt5p3akeri2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9kstu95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Swagger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_z9kstu95g8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1A">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1B">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1C">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1D">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1E">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1F">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20">
      <w:pPr>
        <w:pStyle w:val="Heading1"/>
        <w:spacing w:after="720" w:before="240" w:line="240" w:lineRule="auto"/>
        <w:rPr/>
      </w:pPr>
      <w:bookmarkStart w:colFirst="0" w:colLast="0" w:name="_yedy80taiwb8" w:id="1"/>
      <w:bookmarkEnd w:id="1"/>
      <w:r w:rsidDel="00000000" w:rsidR="00000000" w:rsidRPr="00000000">
        <w:rPr>
          <w:rtl w:val="0"/>
        </w:rPr>
        <w:t xml:space="preserve">Introduction</w:t>
      </w:r>
    </w:p>
    <w:p w:rsidR="00000000" w:rsidDel="00000000" w:rsidP="00000000" w:rsidRDefault="00000000" w:rsidRPr="00000000" w14:paraId="00000021">
      <w:pPr>
        <w:rPr/>
      </w:pPr>
      <w:r w:rsidDel="00000000" w:rsidR="00000000" w:rsidRPr="00000000">
        <w:rPr>
          <w:rtl w:val="0"/>
        </w:rPr>
        <w:t xml:space="preserve">This document is intended for future developers of the PC</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Web Team Interface (WTI). It will describe the coding guidelines used in the development of the WTI. Future developers shall use these guidelines in future development so as to keep the code base consistent, clean, and easy to understand. </w:t>
      </w:r>
    </w:p>
    <w:p w:rsidR="00000000" w:rsidDel="00000000" w:rsidP="00000000" w:rsidRDefault="00000000" w:rsidRPr="00000000" w14:paraId="00000022">
      <w:pPr>
        <w:pStyle w:val="Heading1"/>
        <w:rPr/>
      </w:pPr>
      <w:bookmarkStart w:colFirst="0" w:colLast="0" w:name="_xvunx2inkjyt" w:id="2"/>
      <w:bookmarkEnd w:id="2"/>
      <w:r w:rsidDel="00000000" w:rsidR="00000000" w:rsidRPr="00000000">
        <w:rPr>
          <w:rtl w:val="0"/>
        </w:rPr>
        <w:t xml:space="preserve">WTI UI</w:t>
      </w:r>
    </w:p>
    <w:p w:rsidR="00000000" w:rsidDel="00000000" w:rsidP="00000000" w:rsidRDefault="00000000" w:rsidRPr="00000000" w14:paraId="00000023">
      <w:pPr>
        <w:pStyle w:val="Heading3"/>
        <w:ind w:left="0" w:firstLine="0"/>
        <w:rPr/>
      </w:pPr>
      <w:bookmarkStart w:colFirst="0" w:colLast="0" w:name="_91weeug1mfwz" w:id="3"/>
      <w:bookmarkEnd w:id="3"/>
      <w:r w:rsidDel="00000000" w:rsidR="00000000" w:rsidRPr="00000000">
        <w:rPr>
          <w:rtl w:val="0"/>
        </w:rPr>
        <w:t xml:space="preserve">Angular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General guidelines:</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Angular code and application architecture should follow the Angular style guide. </w:t>
      </w:r>
    </w:p>
    <w:p w:rsidR="00000000" w:rsidDel="00000000" w:rsidP="00000000" w:rsidRDefault="00000000" w:rsidRPr="00000000" w14:paraId="00000027">
      <w:pPr>
        <w:numPr>
          <w:ilvl w:val="2"/>
          <w:numId w:val="1"/>
        </w:numPr>
        <w:ind w:left="2160" w:hanging="360"/>
        <w:rPr/>
      </w:pPr>
      <w:hyperlink r:id="rId6">
        <w:r w:rsidDel="00000000" w:rsidR="00000000" w:rsidRPr="00000000">
          <w:rPr>
            <w:color w:val="1155cc"/>
            <w:u w:val="single"/>
            <w:rtl w:val="0"/>
          </w:rPr>
          <w:t xml:space="preserve">https://angular.io/guide/styleguide</w:t>
        </w:r>
      </w:hyperlink>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Formatting:</w:t>
      </w:r>
      <w:r w:rsidDel="00000000" w:rsidR="00000000" w:rsidRPr="00000000">
        <w:rPr>
          <w:rtl w:val="0"/>
        </w:rPr>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Max line length = 175</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In the event a lot of function chaining is necessary, put each chained function on a new line.</w:t>
      </w:r>
    </w:p>
    <w:p w:rsidR="00000000" w:rsidDel="00000000" w:rsidP="00000000" w:rsidRDefault="00000000" w:rsidRPr="00000000" w14:paraId="0000002B">
      <w:pPr>
        <w:numPr>
          <w:ilvl w:val="2"/>
          <w:numId w:val="1"/>
        </w:numPr>
        <w:ind w:left="2160" w:hanging="360"/>
        <w:rPr>
          <w:sz w:val="20"/>
          <w:szCs w:val="20"/>
        </w:rPr>
      </w:pPr>
      <w:r w:rsidDel="00000000" w:rsidR="00000000" w:rsidRPr="00000000">
        <w:rPr>
          <w:rFonts w:ascii="Courier New" w:cs="Courier New" w:eastAsia="Courier New" w:hAnsi="Courier New"/>
          <w:sz w:val="20"/>
          <w:szCs w:val="20"/>
          <w:rtl w:val="0"/>
        </w:rPr>
        <w:t xml:space="preserve">this._httpClient.get(‘somepage/asdf’)</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.takeUntil(this._unsubscribe)</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.subscribe((val: Type) =&gt; {</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 …</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Long arrays/objects should use newlines to make it easier to read. </w:t>
      </w:r>
    </w:p>
    <w:p w:rsidR="00000000" w:rsidDel="00000000" w:rsidP="00000000" w:rsidRDefault="00000000" w:rsidRPr="00000000" w14:paraId="00000031">
      <w:pPr>
        <w:numPr>
          <w:ilvl w:val="2"/>
          <w:numId w:val="1"/>
        </w:numPr>
        <w:ind w:left="2160" w:hanging="360"/>
        <w:rPr>
          <w:sz w:val="20"/>
          <w:szCs w:val="20"/>
        </w:rPr>
      </w:pPr>
      <w:r w:rsidDel="00000000" w:rsidR="00000000" w:rsidRPr="00000000">
        <w:rPr>
          <w:rFonts w:ascii="Courier New" w:cs="Courier New" w:eastAsia="Courier New" w:hAnsi="Courier New"/>
          <w:sz w:val="20"/>
          <w:szCs w:val="20"/>
          <w:rtl w:val="0"/>
        </w:rPr>
        <w:t xml:space="preserve">const routes: Route[] = [</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Path: ‘asdf’,</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redirectTo: ‘/feature</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14:paraId="00000036">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Path: ‘qwerty’,</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redirectTo: ‘/anotherfeature’</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14:paraId="0000003A">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B">
      <w:pPr>
        <w:numPr>
          <w:ilvl w:val="0"/>
          <w:numId w:val="1"/>
        </w:numPr>
        <w:ind w:left="720" w:hanging="360"/>
      </w:pPr>
      <w:r w:rsidDel="00000000" w:rsidR="00000000" w:rsidRPr="00000000">
        <w:rPr>
          <w:b w:val="1"/>
          <w:rtl w:val="0"/>
        </w:rPr>
        <w:t xml:space="preserve">Naming and Other Considerations:</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Variable names are allowed to begin with an underscore (private class-level variables)</w:t>
      </w:r>
    </w:p>
    <w:p w:rsidR="00000000" w:rsidDel="00000000" w:rsidP="00000000" w:rsidRDefault="00000000" w:rsidRPr="00000000" w14:paraId="0000003D">
      <w:pPr>
        <w:numPr>
          <w:ilvl w:val="1"/>
          <w:numId w:val="1"/>
        </w:numPr>
        <w:ind w:left="1440" w:hanging="360"/>
        <w:rPr/>
      </w:pPr>
      <w:r w:rsidDel="00000000" w:rsidR="00000000" w:rsidRPr="00000000">
        <w:rPr>
          <w:rtl w:val="0"/>
        </w:rPr>
        <w:t xml:space="preserve">Be mindful of using </w:t>
      </w:r>
      <w:r w:rsidDel="00000000" w:rsidR="00000000" w:rsidRPr="00000000">
        <w:rPr>
          <w:rFonts w:ascii="Courier New" w:cs="Courier New" w:eastAsia="Courier New" w:hAnsi="Courier New"/>
          <w:rtl w:val="0"/>
        </w:rPr>
        <w:t xml:space="preserve">any</w:t>
      </w:r>
      <w:r w:rsidDel="00000000" w:rsidR="00000000" w:rsidRPr="00000000">
        <w:rPr>
          <w:rtl w:val="0"/>
        </w:rPr>
        <w:t xml:space="preserve"> in TypeScript. It is best to define classes/interfaces to model an object. Embrace type checking where possible!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1"/>
        <w:rPr/>
      </w:pPr>
      <w:bookmarkStart w:colFirst="0" w:colLast="0" w:name="_abalhfgx8n5k" w:id="4"/>
      <w:bookmarkEnd w:id="4"/>
      <w:r w:rsidDel="00000000" w:rsidR="00000000" w:rsidRPr="00000000">
        <w:rPr>
          <w:rtl w:val="0"/>
        </w:rPr>
        <w:t xml:space="preserve">WTI API</w:t>
      </w:r>
    </w:p>
    <w:p w:rsidR="00000000" w:rsidDel="00000000" w:rsidP="00000000" w:rsidRDefault="00000000" w:rsidRPr="00000000" w14:paraId="00000040">
      <w:pPr>
        <w:pStyle w:val="Heading3"/>
        <w:ind w:left="0" w:firstLine="0"/>
        <w:rPr/>
      </w:pPr>
      <w:bookmarkStart w:colFirst="0" w:colLast="0" w:name="_tbcxxsfdztc4" w:id="5"/>
      <w:bookmarkEnd w:id="5"/>
      <w:r w:rsidDel="00000000" w:rsidR="00000000" w:rsidRPr="00000000">
        <w:rPr>
          <w:rtl w:val="0"/>
        </w:rPr>
        <w:t xml:space="preserve">Java</w:t>
      </w:r>
    </w:p>
    <w:p w:rsidR="00000000" w:rsidDel="00000000" w:rsidP="00000000" w:rsidRDefault="00000000" w:rsidRPr="00000000" w14:paraId="00000041">
      <w:pPr>
        <w:numPr>
          <w:ilvl w:val="0"/>
          <w:numId w:val="1"/>
        </w:numPr>
        <w:ind w:left="720" w:hanging="360"/>
      </w:pPr>
      <w:r w:rsidDel="00000000" w:rsidR="00000000" w:rsidRPr="00000000">
        <w:rPr>
          <w:b w:val="1"/>
          <w:rtl w:val="0"/>
        </w:rPr>
        <w:t xml:space="preserve">Capitalization Conventions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numPr>
          <w:ilvl w:val="1"/>
          <w:numId w:val="1"/>
        </w:numPr>
        <w:ind w:left="1440" w:hanging="360"/>
        <w:rPr/>
      </w:pPr>
      <w:r w:rsidDel="00000000" w:rsidR="00000000" w:rsidRPr="00000000">
        <w:rPr>
          <w:i w:val="1"/>
          <w:rtl w:val="0"/>
        </w:rPr>
        <w:t xml:space="preserve">Camel Case</w:t>
      </w:r>
      <w:r w:rsidDel="00000000" w:rsidR="00000000" w:rsidRPr="00000000">
        <w:rPr>
          <w:rtl w:val="0"/>
        </w:rPr>
        <w:t xml:space="preserve"> will be used for:</w:t>
      </w:r>
    </w:p>
    <w:p w:rsidR="00000000" w:rsidDel="00000000" w:rsidP="00000000" w:rsidRDefault="00000000" w:rsidRPr="00000000" w14:paraId="00000043">
      <w:pPr>
        <w:numPr>
          <w:ilvl w:val="2"/>
          <w:numId w:val="1"/>
        </w:numPr>
        <w:ind w:left="2160" w:hanging="360"/>
        <w:rPr>
          <w:sz w:val="20"/>
          <w:szCs w:val="20"/>
        </w:rPr>
      </w:pPr>
      <w:r w:rsidDel="00000000" w:rsidR="00000000" w:rsidRPr="00000000">
        <w:rPr>
          <w:sz w:val="20"/>
          <w:szCs w:val="20"/>
          <w:rtl w:val="0"/>
        </w:rPr>
        <w:t xml:space="preserve">Variables</w:t>
      </w:r>
    </w:p>
    <w:p w:rsidR="00000000" w:rsidDel="00000000" w:rsidP="00000000" w:rsidRDefault="00000000" w:rsidRPr="00000000" w14:paraId="00000044">
      <w:pPr>
        <w:numPr>
          <w:ilvl w:val="2"/>
          <w:numId w:val="1"/>
        </w:numPr>
        <w:ind w:left="2160" w:hanging="360"/>
        <w:rPr>
          <w:sz w:val="20"/>
          <w:szCs w:val="20"/>
        </w:rPr>
      </w:pPr>
      <w:r w:rsidDel="00000000" w:rsidR="00000000" w:rsidRPr="00000000">
        <w:rPr>
          <w:sz w:val="20"/>
          <w:szCs w:val="20"/>
          <w:rtl w:val="0"/>
        </w:rPr>
        <w:t xml:space="preserve">Parameters</w:t>
      </w:r>
    </w:p>
    <w:p w:rsidR="00000000" w:rsidDel="00000000" w:rsidP="00000000" w:rsidRDefault="00000000" w:rsidRPr="00000000" w14:paraId="00000045">
      <w:pPr>
        <w:numPr>
          <w:ilvl w:val="2"/>
          <w:numId w:val="1"/>
        </w:numPr>
        <w:ind w:left="2160" w:hanging="360"/>
        <w:rPr>
          <w:sz w:val="20"/>
          <w:szCs w:val="20"/>
        </w:rPr>
      </w:pPr>
      <w:r w:rsidDel="00000000" w:rsidR="00000000" w:rsidRPr="00000000">
        <w:rPr>
          <w:sz w:val="20"/>
          <w:szCs w:val="20"/>
          <w:rtl w:val="0"/>
        </w:rPr>
        <w:t xml:space="preserve">Methods</w:t>
      </w:r>
    </w:p>
    <w:p w:rsidR="00000000" w:rsidDel="00000000" w:rsidP="00000000" w:rsidRDefault="00000000" w:rsidRPr="00000000" w14:paraId="00000046">
      <w:pPr>
        <w:numPr>
          <w:ilvl w:val="1"/>
          <w:numId w:val="1"/>
        </w:numPr>
        <w:ind w:left="1440" w:hanging="360"/>
        <w:rPr/>
      </w:pPr>
      <w:r w:rsidDel="00000000" w:rsidR="00000000" w:rsidRPr="00000000">
        <w:rPr>
          <w:i w:val="1"/>
          <w:rtl w:val="0"/>
        </w:rPr>
        <w:t xml:space="preserve">Upper Camel Case</w:t>
      </w:r>
      <w:r w:rsidDel="00000000" w:rsidR="00000000" w:rsidRPr="00000000">
        <w:rPr>
          <w:rtl w:val="0"/>
        </w:rPr>
        <w:t xml:space="preserve"> will be used for: </w:t>
      </w:r>
    </w:p>
    <w:p w:rsidR="00000000" w:rsidDel="00000000" w:rsidP="00000000" w:rsidRDefault="00000000" w:rsidRPr="00000000" w14:paraId="00000047">
      <w:pPr>
        <w:numPr>
          <w:ilvl w:val="2"/>
          <w:numId w:val="1"/>
        </w:numPr>
        <w:ind w:left="2160" w:hanging="360"/>
        <w:rPr>
          <w:sz w:val="20"/>
          <w:szCs w:val="20"/>
        </w:rPr>
      </w:pPr>
      <w:r w:rsidDel="00000000" w:rsidR="00000000" w:rsidRPr="00000000">
        <w:rPr>
          <w:sz w:val="20"/>
          <w:szCs w:val="20"/>
          <w:rtl w:val="0"/>
        </w:rPr>
        <w:t xml:space="preserve">Class files</w:t>
      </w:r>
    </w:p>
    <w:p w:rsidR="00000000" w:rsidDel="00000000" w:rsidP="00000000" w:rsidRDefault="00000000" w:rsidRPr="00000000" w14:paraId="00000048">
      <w:pPr>
        <w:numPr>
          <w:ilvl w:val="2"/>
          <w:numId w:val="1"/>
        </w:numPr>
        <w:ind w:left="2160" w:hanging="360"/>
        <w:rPr>
          <w:sz w:val="20"/>
          <w:szCs w:val="20"/>
        </w:rPr>
      </w:pPr>
      <w:r w:rsidDel="00000000" w:rsidR="00000000" w:rsidRPr="00000000">
        <w:rPr>
          <w:sz w:val="20"/>
          <w:szCs w:val="20"/>
          <w:rtl w:val="0"/>
        </w:rPr>
        <w:t xml:space="preserve">Constructors</w:t>
      </w:r>
    </w:p>
    <w:p w:rsidR="00000000" w:rsidDel="00000000" w:rsidP="00000000" w:rsidRDefault="00000000" w:rsidRPr="00000000" w14:paraId="00000049">
      <w:pPr>
        <w:numPr>
          <w:ilvl w:val="0"/>
          <w:numId w:val="1"/>
        </w:numPr>
        <w:ind w:left="720" w:hanging="360"/>
        <w:rPr>
          <w:b w:val="1"/>
        </w:rPr>
      </w:pPr>
      <w:r w:rsidDel="00000000" w:rsidR="00000000" w:rsidRPr="00000000">
        <w:rPr>
          <w:b w:val="1"/>
          <w:rtl w:val="0"/>
        </w:rPr>
        <w:t xml:space="preserve">Formatting and Spacing:</w:t>
      </w:r>
    </w:p>
    <w:p w:rsidR="00000000" w:rsidDel="00000000" w:rsidP="00000000" w:rsidRDefault="00000000" w:rsidRPr="00000000" w14:paraId="0000004A">
      <w:pPr>
        <w:numPr>
          <w:ilvl w:val="1"/>
          <w:numId w:val="1"/>
        </w:numPr>
        <w:ind w:left="1440" w:hanging="360"/>
        <w:rPr>
          <w:i w:val="1"/>
        </w:rPr>
      </w:pPr>
      <w:r w:rsidDel="00000000" w:rsidR="00000000" w:rsidRPr="00000000">
        <w:rPr>
          <w:i w:val="1"/>
          <w:rtl w:val="0"/>
        </w:rPr>
        <w:t xml:space="preserve">Braces</w:t>
      </w:r>
      <w:r w:rsidDel="00000000" w:rsidR="00000000" w:rsidRPr="00000000">
        <w:rPr>
          <w:b w:val="1"/>
          <w:i w:val="1"/>
          <w:rtl w:val="0"/>
        </w:rPr>
        <w:t xml:space="preserve">:</w:t>
      </w:r>
    </w:p>
    <w:p w:rsidR="00000000" w:rsidDel="00000000" w:rsidP="00000000" w:rsidRDefault="00000000" w:rsidRPr="00000000" w14:paraId="0000004B">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right="340" w:hanging="360"/>
        <w:rPr>
          <w:color w:val="222222"/>
          <w:sz w:val="20"/>
          <w:szCs w:val="20"/>
        </w:rPr>
      </w:pPr>
      <w:r w:rsidDel="00000000" w:rsidR="00000000" w:rsidRPr="00000000">
        <w:rPr>
          <w:color w:val="222222"/>
          <w:sz w:val="20"/>
          <w:szCs w:val="20"/>
          <w:rtl w:val="0"/>
        </w:rPr>
        <w:t xml:space="preserve">No line break before the opening brace.</w:t>
      </w:r>
    </w:p>
    <w:p w:rsidR="00000000" w:rsidDel="00000000" w:rsidP="00000000" w:rsidRDefault="00000000" w:rsidRPr="00000000" w14:paraId="0000004C">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right="340" w:hanging="360"/>
        <w:rPr>
          <w:color w:val="222222"/>
          <w:sz w:val="20"/>
          <w:szCs w:val="20"/>
        </w:rPr>
      </w:pPr>
      <w:r w:rsidDel="00000000" w:rsidR="00000000" w:rsidRPr="00000000">
        <w:rPr>
          <w:color w:val="222222"/>
          <w:sz w:val="20"/>
          <w:szCs w:val="20"/>
          <w:rtl w:val="0"/>
        </w:rPr>
        <w:t xml:space="preserve">Line break after the opening brace.</w:t>
      </w:r>
    </w:p>
    <w:p w:rsidR="00000000" w:rsidDel="00000000" w:rsidP="00000000" w:rsidRDefault="00000000" w:rsidRPr="00000000" w14:paraId="0000004D">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right="340" w:hanging="360"/>
        <w:rPr>
          <w:color w:val="222222"/>
          <w:sz w:val="20"/>
          <w:szCs w:val="20"/>
        </w:rPr>
      </w:pPr>
      <w:r w:rsidDel="00000000" w:rsidR="00000000" w:rsidRPr="00000000">
        <w:rPr>
          <w:color w:val="222222"/>
          <w:sz w:val="20"/>
          <w:szCs w:val="20"/>
          <w:rtl w:val="0"/>
        </w:rPr>
        <w:t xml:space="preserve">Line break before the closing brace.</w:t>
      </w:r>
    </w:p>
    <w:p w:rsidR="00000000" w:rsidDel="00000000" w:rsidP="00000000" w:rsidRDefault="00000000" w:rsidRPr="00000000" w14:paraId="0000004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right="340" w:hanging="360"/>
        <w:rPr>
          <w:color w:val="222222"/>
          <w:sz w:val="20"/>
          <w:szCs w:val="20"/>
        </w:rPr>
      </w:pPr>
      <w:r w:rsidDel="00000000" w:rsidR="00000000" w:rsidRPr="00000000">
        <w:rPr>
          <w:color w:val="222222"/>
          <w:sz w:val="20"/>
          <w:szCs w:val="20"/>
          <w:rtl w:val="0"/>
        </w:rPr>
        <w:t xml:space="preserve">Line break after the closing brace if that brace is the end of a statement, method, or class.</w:t>
      </w:r>
    </w:p>
    <w:p w:rsidR="00000000" w:rsidDel="00000000" w:rsidP="00000000" w:rsidRDefault="00000000" w:rsidRPr="00000000" w14:paraId="0000004F">
      <w:pPr>
        <w:numPr>
          <w:ilvl w:val="2"/>
          <w:numId w:val="1"/>
        </w:numPr>
        <w:pBdr>
          <w:top w:color="auto" w:space="0" w:sz="0" w:val="none"/>
          <w:bottom w:color="auto" w:space="0" w:sz="0" w:val="none"/>
          <w:right w:color="auto" w:space="0" w:sz="0" w:val="none"/>
          <w:between w:color="auto" w:space="0" w:sz="0" w:val="none"/>
        </w:pBdr>
        <w:spacing w:after="640" w:lineRule="auto"/>
        <w:ind w:left="2160" w:right="340" w:hanging="360"/>
        <w:rPr>
          <w:color w:val="222222"/>
          <w:sz w:val="20"/>
          <w:szCs w:val="20"/>
        </w:rPr>
      </w:pPr>
      <w:r w:rsidDel="00000000" w:rsidR="00000000" w:rsidRPr="00000000">
        <w:rPr>
          <w:color w:val="222222"/>
          <w:sz w:val="20"/>
          <w:szCs w:val="20"/>
          <w:rtl w:val="0"/>
        </w:rPr>
        <w:t xml:space="preserve">Braces not necessary for if, else, do, while, etc where body contains single statement. </w:t>
      </w:r>
    </w:p>
    <w:p w:rsidR="00000000" w:rsidDel="00000000" w:rsidP="00000000" w:rsidRDefault="00000000" w:rsidRPr="00000000" w14:paraId="00000050">
      <w:pPr>
        <w:pStyle w:val="Heading3"/>
        <w:ind w:left="0" w:firstLine="0"/>
        <w:rPr/>
      </w:pPr>
      <w:bookmarkStart w:colFirst="0" w:colLast="0" w:name="_uu92px3ogcga" w:id="6"/>
      <w:bookmarkEnd w:id="6"/>
      <w:r w:rsidDel="00000000" w:rsidR="00000000" w:rsidRPr="00000000">
        <w:rPr>
          <w:rtl w:val="0"/>
        </w:rPr>
        <w:t xml:space="preserve">Swagger</w:t>
      </w:r>
    </w:p>
    <w:p w:rsidR="00000000" w:rsidDel="00000000" w:rsidP="00000000" w:rsidRDefault="00000000" w:rsidRPr="00000000" w14:paraId="00000051">
      <w:pPr>
        <w:numPr>
          <w:ilvl w:val="0"/>
          <w:numId w:val="1"/>
        </w:numPr>
        <w:ind w:left="720" w:hanging="360"/>
      </w:pPr>
      <w:r w:rsidDel="00000000" w:rsidR="00000000" w:rsidRPr="00000000">
        <w:rPr>
          <w:b w:val="1"/>
          <w:rtl w:val="0"/>
        </w:rPr>
        <w:t xml:space="preserve">General guidelines:</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Swagger</w:t>
      </w:r>
      <w:r w:rsidDel="00000000" w:rsidR="00000000" w:rsidRPr="00000000">
        <w:rPr>
          <w:rtl w:val="0"/>
        </w:rPr>
        <w:t xml:space="preserve"> code should follow the basic structure outlined below</w:t>
      </w:r>
    </w:p>
    <w:p w:rsidR="00000000" w:rsidDel="00000000" w:rsidP="00000000" w:rsidRDefault="00000000" w:rsidRPr="00000000" w14:paraId="00000053">
      <w:pPr>
        <w:numPr>
          <w:ilvl w:val="2"/>
          <w:numId w:val="1"/>
        </w:numPr>
        <w:ind w:left="2160" w:hanging="360"/>
        <w:sectPr>
          <w:headerReference r:id="rId7" w:type="default"/>
          <w:headerReference r:id="rId8" w:type="first"/>
          <w:footerReference r:id="rId9" w:type="first"/>
          <w:pgSz w:h="15840" w:w="12240"/>
          <w:pgMar w:bottom="1440" w:top="1440" w:left="1440" w:right="1440" w:header="720" w:footer="720"/>
          <w:pgNumType w:start="0"/>
          <w:titlePg w:val="1"/>
        </w:sectPr>
      </w:pPr>
      <w:hyperlink r:id="rId10">
        <w:r w:rsidDel="00000000" w:rsidR="00000000" w:rsidRPr="00000000">
          <w:rPr>
            <w:color w:val="1155cc"/>
            <w:sz w:val="24"/>
            <w:szCs w:val="24"/>
            <w:u w:val="single"/>
            <w:rtl w:val="0"/>
          </w:rPr>
          <w:t xml:space="preserve">https://swagger.io/docs/specification/2-0/basic-structure</w:t>
        </w:r>
      </w:hyperlink>
      <w:r w:rsidDel="00000000" w:rsidR="00000000" w:rsidRPr="00000000">
        <w:rPr>
          <w:rtl w:val="0"/>
        </w:rPr>
      </w:r>
    </w:p>
    <w:p w:rsidR="00000000" w:rsidDel="00000000" w:rsidP="00000000" w:rsidRDefault="00000000" w:rsidRPr="00000000" w14:paraId="00000054">
      <w:pPr>
        <w:pStyle w:val="Heading3"/>
        <w:ind w:left="0" w:firstLine="0"/>
        <w:rPr/>
      </w:pPr>
      <w:bookmarkStart w:colFirst="0" w:colLast="0" w:name="_2tya6ea6tzgs" w:id="7"/>
      <w:bookmarkEnd w:id="7"/>
      <w:r w:rsidDel="00000000" w:rsidR="00000000" w:rsidRPr="00000000">
        <w:rPr>
          <w:rtl w:val="0"/>
        </w:rPr>
        <w:t xml:space="preserve">JavaDoc</w:t>
      </w:r>
    </w:p>
    <w:p w:rsidR="00000000" w:rsidDel="00000000" w:rsidP="00000000" w:rsidRDefault="00000000" w:rsidRPr="00000000" w14:paraId="00000055">
      <w:pPr>
        <w:numPr>
          <w:ilvl w:val="0"/>
          <w:numId w:val="1"/>
        </w:numPr>
        <w:ind w:left="720" w:hanging="360"/>
        <w:rPr>
          <w:b w:val="1"/>
        </w:rPr>
      </w:pPr>
      <w:r w:rsidDel="00000000" w:rsidR="00000000" w:rsidRPr="00000000">
        <w:rPr>
          <w:b w:val="1"/>
          <w:rtl w:val="0"/>
        </w:rPr>
        <w:t xml:space="preserve">Formatting:</w:t>
      </w:r>
    </w:p>
    <w:p w:rsidR="00000000" w:rsidDel="00000000" w:rsidP="00000000" w:rsidRDefault="00000000" w:rsidRPr="00000000" w14:paraId="00000056">
      <w:pPr>
        <w:numPr>
          <w:ilvl w:val="1"/>
          <w:numId w:val="1"/>
        </w:numPr>
        <w:ind w:left="1440" w:hanging="360"/>
        <w:rPr>
          <w:i w:val="1"/>
        </w:rPr>
      </w:pPr>
      <w:r w:rsidDel="00000000" w:rsidR="00000000" w:rsidRPr="00000000">
        <w:rPr>
          <w:i w:val="1"/>
          <w:rtl w:val="0"/>
        </w:rPr>
        <w:t xml:space="preserve">General Format</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57">
      <w:pPr>
        <w:numPr>
          <w:ilvl w:val="2"/>
          <w:numId w:val="1"/>
        </w:numPr>
        <w:ind w:left="2160" w:hanging="360"/>
        <w:rPr>
          <w:b w:val="1"/>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Javadoc goes here</w:t>
      </w:r>
    </w:p>
    <w:p w:rsidR="00000000" w:rsidDel="00000000" w:rsidP="00000000" w:rsidRDefault="00000000" w:rsidRPr="00000000" w14:paraId="00000059">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and continues here...</w:t>
      </w:r>
    </w:p>
    <w:p w:rsidR="00000000" w:rsidDel="00000000" w:rsidP="00000000" w:rsidRDefault="00000000" w:rsidRPr="00000000" w14:paraId="0000005A">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r w:rsidDel="00000000" w:rsidR="00000000" w:rsidRPr="00000000">
        <w:rPr>
          <w:rtl w:val="0"/>
        </w:rPr>
      </w:r>
    </w:p>
    <w:p w:rsidR="00000000" w:rsidDel="00000000" w:rsidP="00000000" w:rsidRDefault="00000000" w:rsidRPr="00000000" w14:paraId="0000005B">
      <w:pPr>
        <w:spacing w:after="300" w:before="300" w:line="360" w:lineRule="auto"/>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 method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String</w:t>
      </w:r>
      <w:r w:rsidDel="00000000" w:rsidR="00000000" w:rsidRPr="00000000">
        <w:rPr>
          <w:rFonts w:ascii="Courier New" w:cs="Courier New" w:eastAsia="Courier New" w:hAnsi="Courier New"/>
          <w:sz w:val="20"/>
          <w:szCs w:val="20"/>
          <w:rtl w:val="0"/>
        </w:rPr>
        <w:t xml:space="preserve"> p1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C">
      <w:pPr>
        <w:numPr>
          <w:ilvl w:val="1"/>
          <w:numId w:val="1"/>
        </w:numPr>
        <w:ind w:left="1440" w:hanging="360"/>
        <w:rPr>
          <w:b w:val="1"/>
        </w:rPr>
      </w:pPr>
      <w:r w:rsidDel="00000000" w:rsidR="00000000" w:rsidRPr="00000000">
        <w:rPr>
          <w:i w:val="1"/>
          <w:rtl w:val="0"/>
        </w:rPr>
        <w:t xml:space="preserve">Block Tags</w:t>
      </w:r>
      <w:r w:rsidDel="00000000" w:rsidR="00000000" w:rsidRPr="00000000">
        <w:rPr>
          <w:b w:val="1"/>
          <w:rtl w:val="0"/>
        </w:rPr>
        <w:t xml:space="preserve">:</w:t>
      </w:r>
    </w:p>
    <w:p w:rsidR="00000000" w:rsidDel="00000000" w:rsidP="00000000" w:rsidRDefault="00000000" w:rsidRPr="00000000" w14:paraId="0000005D">
      <w:pPr>
        <w:numPr>
          <w:ilvl w:val="2"/>
          <w:numId w:val="1"/>
        </w:numPr>
        <w:ind w:left="2160" w:hanging="360"/>
        <w:rPr/>
        <w:sectPr>
          <w:type w:val="nextPage"/>
          <w:pgSz w:h="15840" w:w="12240"/>
          <w:pgMar w:bottom="1440" w:top="1440" w:left="1440" w:right="1440" w:header="720" w:footer="720"/>
          <w:cols w:equalWidth="0"/>
        </w:sectPr>
      </w:pPr>
      <w:r w:rsidDel="00000000" w:rsidR="00000000" w:rsidRPr="00000000">
        <w:rPr>
          <w:sz w:val="20"/>
          <w:szCs w:val="20"/>
          <w:rtl w:val="0"/>
        </w:rPr>
        <w:t xml:space="preserve">Any tags used in Javadoc (@param, @return, @throws…) should not be left with a blank description.</w:t>
      </w:r>
      <w:r w:rsidDel="00000000" w:rsidR="00000000" w:rsidRPr="00000000">
        <w:rPr>
          <w:rtl w:val="0"/>
        </w:rPr>
      </w:r>
    </w:p>
    <w:p w:rsidR="00000000" w:rsidDel="00000000" w:rsidP="00000000" w:rsidRDefault="00000000" w:rsidRPr="00000000" w14:paraId="0000005E">
      <w:pPr>
        <w:pStyle w:val="Heading1"/>
        <w:rPr/>
      </w:pPr>
      <w:bookmarkStart w:colFirst="0" w:colLast="0" w:name="_9p4450lkchoy" w:id="8"/>
      <w:bookmarkEnd w:id="8"/>
      <w:r w:rsidDel="00000000" w:rsidR="00000000" w:rsidRPr="00000000">
        <w:rPr>
          <w:rtl w:val="0"/>
        </w:rPr>
        <w:t xml:space="preserve">Additional Guidelines and References</w:t>
      </w:r>
    </w:p>
    <w:p w:rsidR="00000000" w:rsidDel="00000000" w:rsidP="00000000" w:rsidRDefault="00000000" w:rsidRPr="00000000" w14:paraId="0000005F">
      <w:pPr>
        <w:rPr/>
      </w:pPr>
      <w:r w:rsidDel="00000000" w:rsidR="00000000" w:rsidRPr="00000000">
        <w:rPr>
          <w:rtl w:val="0"/>
        </w:rPr>
        <w:t xml:space="preserve">Please see the following links for more information regarding style: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mqi7gxjn8bav" w:id="9"/>
      <w:bookmarkEnd w:id="9"/>
      <w:r w:rsidDel="00000000" w:rsidR="00000000" w:rsidRPr="00000000">
        <w:rPr>
          <w:rtl w:val="0"/>
        </w:rPr>
        <w:t xml:space="preserve">Angular</w:t>
      </w:r>
    </w:p>
    <w:p w:rsidR="00000000" w:rsidDel="00000000" w:rsidP="00000000" w:rsidRDefault="00000000" w:rsidRPr="00000000" w14:paraId="00000062">
      <w:pPr>
        <w:rPr/>
      </w:pPr>
      <w:hyperlink r:id="rId11">
        <w:r w:rsidDel="00000000" w:rsidR="00000000" w:rsidRPr="00000000">
          <w:rPr>
            <w:color w:val="1155cc"/>
            <w:sz w:val="24"/>
            <w:szCs w:val="24"/>
            <w:u w:val="single"/>
            <w:rtl w:val="0"/>
          </w:rPr>
          <w:t xml:space="preserve">https://angular.io/guide/styleguide</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1jt5p3akeri2" w:id="10"/>
      <w:bookmarkEnd w:id="10"/>
      <w:r w:rsidDel="00000000" w:rsidR="00000000" w:rsidRPr="00000000">
        <w:rPr>
          <w:rtl w:val="0"/>
        </w:rPr>
        <w:t xml:space="preserve">Java/JavaDoc</w:t>
      </w:r>
    </w:p>
    <w:p w:rsidR="00000000" w:rsidDel="00000000" w:rsidP="00000000" w:rsidRDefault="00000000" w:rsidRPr="00000000" w14:paraId="00000065">
      <w:pPr>
        <w:rPr/>
      </w:pPr>
      <w:hyperlink r:id="rId12">
        <w:r w:rsidDel="00000000" w:rsidR="00000000" w:rsidRPr="00000000">
          <w:rPr>
            <w:color w:val="1155cc"/>
            <w:u w:val="single"/>
            <w:rtl w:val="0"/>
          </w:rPr>
          <w:t xml:space="preserve">https://google.github.io/styleguide/javaguide.html</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z9kstu95g8" w:id="11"/>
      <w:bookmarkEnd w:id="11"/>
      <w:r w:rsidDel="00000000" w:rsidR="00000000" w:rsidRPr="00000000">
        <w:rPr>
          <w:rtl w:val="0"/>
        </w:rPr>
        <w:t xml:space="preserve">Swagger</w:t>
      </w:r>
    </w:p>
    <w:p w:rsidR="00000000" w:rsidDel="00000000" w:rsidP="00000000" w:rsidRDefault="00000000" w:rsidRPr="00000000" w14:paraId="00000068">
      <w:pPr>
        <w:rPr/>
      </w:pPr>
      <w:hyperlink r:id="rId13">
        <w:r w:rsidDel="00000000" w:rsidR="00000000" w:rsidRPr="00000000">
          <w:rPr>
            <w:color w:val="1155cc"/>
            <w:u w:val="single"/>
            <w:rtl w:val="0"/>
          </w:rPr>
          <w:t xml:space="preserve">https://github.com/swagger-api/swagger-core/wiki/Coding-Standards</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Fonts w:ascii="Times New Roman" w:cs="Times New Roman" w:eastAsia="Times New Roman" w:hAnsi="Times New Roman"/>
        <w:i w:val="1"/>
        <w:sz w:val="18"/>
        <w:szCs w:val="18"/>
        <w:rtl w:val="0"/>
      </w:rPr>
      <w:t xml:space="preserve">Coding Guidelines for PC</w:t>
    </w:r>
    <w:r w:rsidDel="00000000" w:rsidR="00000000" w:rsidRPr="00000000">
      <w:rPr>
        <w:rFonts w:ascii="Times New Roman" w:cs="Times New Roman" w:eastAsia="Times New Roman" w:hAnsi="Times New Roman"/>
        <w:i w:val="1"/>
        <w:sz w:val="18"/>
        <w:szCs w:val="18"/>
        <w:vertAlign w:val="superscript"/>
        <w:rtl w:val="0"/>
      </w:rPr>
      <w:t xml:space="preserve">2</w:t>
    </w:r>
    <w:r w:rsidDel="00000000" w:rsidR="00000000" w:rsidRPr="00000000">
      <w:rPr>
        <w:rFonts w:ascii="Times New Roman" w:cs="Times New Roman" w:eastAsia="Times New Roman" w:hAnsi="Times New Roman"/>
        <w:i w:val="1"/>
        <w:sz w:val="18"/>
        <w:szCs w:val="18"/>
        <w:rtl w:val="0"/>
      </w:rPr>
      <w:t xml:space="preserve"> Web Team Interface </w:t>
      <w:tab/>
      <w:t xml:space="preserve">                                                                             </w:t>
      <w:tab/>
      <w:tab/>
      <w:tab/>
      <w:t xml:space="preserve">Page </w:t>
    </w:r>
    <w:r w:rsidDel="00000000" w:rsidR="00000000" w:rsidRPr="00000000">
      <w:rPr>
        <w:rFonts w:ascii="Times New Roman" w:cs="Times New Roman" w:eastAsia="Times New Roman" w:hAnsi="Times New Roman"/>
        <w:i w:val="1"/>
        <w:sz w:val="18"/>
        <w:szCs w:val="1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ngular.io/guide/styleguide" TargetMode="External"/><Relationship Id="rId10" Type="http://schemas.openxmlformats.org/officeDocument/2006/relationships/hyperlink" Target="https://swagger.io/docs/specification/2-0/basic-structure/" TargetMode="External"/><Relationship Id="rId13" Type="http://schemas.openxmlformats.org/officeDocument/2006/relationships/hyperlink" Target="https://github.com/swagger-api/swagger-core/wiki/Coding-Standards" TargetMode="External"/><Relationship Id="rId12" Type="http://schemas.openxmlformats.org/officeDocument/2006/relationships/hyperlink" Target="https://google.github.io/styleguide/javagu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ngular.io/guide/styleguide"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