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Front matter before any heading: this paragraph has no section and stays that way.</w:t>
      </w:r>
    </w:p>
    <w:p>
      <w:pPr>
        <w:pStyle w:val="Heading1"/>
      </w:pPr>
      <w:r>
        <w:t>Report A</w:t>
      </w:r>
    </w:p>
    <w:p>
      <w:r>
        <w:t>Report A opens with a short introduction of its scope and its reader.</w:t>
      </w:r>
    </w:p>
    <w:p>
      <w:pPr>
        <w:pStyle w:val="Heading2"/>
      </w:pPr>
      <w:r>
        <w:t>Executive Summary</w:t>
      </w:r>
    </w:p>
    <w:p>
      <w:r>
        <w:t>Report A's summary states the AMBERQUILL finding: the first platform's three-year cost is the lower of the two under the stated assumptions, with the caveats listed in Section 1.</w:t>
      </w:r>
    </w:p>
    <w:p>
      <w:pPr>
        <w:pStyle w:val="Heading2"/>
      </w:pPr>
      <w:r>
        <w:t>Section 1: Methodology &amp; Assumptions</w:t>
      </w:r>
    </w:p>
    <w:p>
      <w:r>
        <w:t>The methodology section explains how the numbers were derived and what was assumed about volumes, prices and staffing.</w:t>
      </w:r>
    </w:p>
    <w:p>
      <w:pPr>
        <w:pStyle w:val="Heading3"/>
      </w:pPr>
      <w:r>
        <w:t>1.1 Scope</w:t>
      </w:r>
    </w:p>
    <w:p>
      <w:r>
        <w:t>The scope paragraph carries the SAFFRONVANE boundary: on-premises and cloud, three years, one region, prices as of the stated month.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Egress per GB</w:t>
            </w:r>
          </w:p>
        </w:tc>
        <w:tc>
          <w:tcPr>
            <w:tcW w:type="dxa" w:w="4320"/>
          </w:tcPr>
          <w:p>
            <w:r>
              <w:t>0.0018</w:t>
            </w:r>
          </w:p>
        </w:tc>
      </w:tr>
      <w:tr>
        <w:tc>
          <w:tcPr>
            <w:tcW w:type="dxa" w:w="4320"/>
          </w:tcPr>
          <w:p>
            <w:r>
              <w:t>Storage per GB-month</w:t>
            </w:r>
          </w:p>
        </w:tc>
        <w:tc>
          <w:tcPr>
            <w:tcW w:type="dxa" w:w="4320"/>
          </w:tcPr>
          <w:p>
            <w:r>
              <w:t>0.020</w:t>
            </w:r>
          </w:p>
        </w:tc>
      </w:tr>
    </w:tbl>
    <w:p>
      <w:pPr>
        <w:pStyle w:val="Heading2"/>
      </w:pPr>
    </w:p>
    <w:p>
      <w:r>
        <w:t>A paragraph after a blank heading still belongs to 1.1 Scope: the blank is skipped, never a section of its own.</w:t>
      </w:r>
    </w:p>
    <w:p>
      <w:pPr>
        <w:pStyle w:val="Heading1"/>
      </w:pPr>
      <w:r>
        <w:t>Report B</w:t>
      </w:r>
    </w:p>
    <w:p>
      <w:pPr>
        <w:pStyle w:val="Heading2"/>
      </w:pPr>
      <w:r>
        <w:t>Executive Summary</w:t>
      </w:r>
    </w:p>
    <w:p>
      <w:r>
        <w:t>Report B's summary states the COBALTREED finding: the second comparison reverses the first under a different utilisation, and says why.</w:t>
      </w:r>
    </w:p>
    <w:p>
      <w:r>
        <w:t>A closing paragraph of Report B's summary, long enough to be a chunk of its own when the splitter runs at a small chunk size, so that the section path is tested on a second chunk of the same section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