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Nutrition Science Analysis Report</w:t>
      </w:r>
    </w:p>
    <w:p>
      <w:r>
        <w:t>Total Papers Analyzed: 1</w:t>
      </w:r>
    </w:p>
    <w:p>
      <w:r>
        <w:br w:type="page"/>
      </w:r>
    </w:p>
    <w:p>
      <w:pPr>
        <w:pStyle w:val="Heading1"/>
      </w:pPr>
      <w:r>
        <w:t>Nutrition Paper Analysis</w:t>
      </w:r>
    </w:p>
    <w:p>
      <w:r>
        <w:rPr>
          <w:b/>
        </w:rPr>
        <w:t xml:space="preserve">Type: Systematic Review and Meta-Analysis (Critically Flawed) | </w:t>
      </w:r>
      <w:r>
        <w:rPr>
          <w:b/>
        </w:rPr>
        <w:t xml:space="preserve">Evidence Level: Low | </w:t>
      </w:r>
      <w:r>
        <w:rPr>
          <w:b/>
          <w:color w:val="FF0000"/>
        </w:rPr>
        <w:t>Trust Score: 2/10</w:t>
      </w:r>
    </w:p>
    <w:p>
      <w:pPr>
        <w:pStyle w:val="Heading2"/>
      </w:pPr>
      <w:r>
        <w:t>💰 Conflicts of Interest &amp; Funding</w:t>
      </w:r>
    </w:p>
    <w:p>
      <w:r>
        <w:rPr>
          <w:b/>
          <w:color w:val="FF0000"/>
        </w:rPr>
        <w:t>⚠️ WARNING: CONFLICT DETECTED</w:t>
      </w:r>
    </w:p>
    <w:p>
      <w:r>
        <w:t>Source: Multiple Sources (NIH, Private Foundations, Pharmaceutical Companies, Industry Groups)</w:t>
      </w:r>
    </w:p>
    <w:p>
      <w:r>
        <w:t>Notes: The study received funding from multiple sources, including pharmaceutical companies and industry groups with a vested interest in promoting healthy eating. This raises concerns about potential bias in the selection and interpretation of research findings. The industry funding significantly impacts the trust score.</w:t>
      </w:r>
    </w:p>
    <w:p>
      <w:pPr>
        <w:pStyle w:val="Heading2"/>
      </w:pPr>
      <w:r>
        <w:t>🔬 Methodology Audit</w:t>
      </w:r>
    </w:p>
    <w:p>
      <w:pPr>
        <w:pStyle w:val="ListBullet"/>
      </w:pPr>
      <w:r>
        <w:t>Control Group: Straw Man – Inadequate Control Group Definition. The control group was not adequately defined, likely consisting of a broad category of dietary interventions. This creates a ‘straw man’ control group, making it impossible to accurately assess the specific benefits of the Mediterranean diet. The lack of a rigorous comparator significantly undermines the validity of the findings.</w:t>
      </w:r>
    </w:p>
    <w:p>
      <w:pPr>
        <w:pStyle w:val="ListBullet"/>
      </w:pPr>
      <w:r>
        <w:t>Intervention Details: Insufficiently Defined – The ‘Mediterranean diet’ is described broadly as ‘rich in olive oil, fruits, vegetables, and fish.’ The specific dietary composition, dosage, and adherence protocols are not clearly defined, making it impossible to replicate the findings or assess clinical significance. The lack of precision introduces substantial uncertainty.</w:t>
      </w:r>
    </w:p>
    <w:p>
      <w:pPr>
        <w:pStyle w:val="ListBullet"/>
      </w:pPr>
      <w:r>
        <w:t>Confounding Factors: Significant – Healthy User Bias. Individuals choosing a Mediterranean-style diet are likely to be more health-conscious in general, engaging in other healthy behaviors (e.g., regular exercise, smoking cessation) *prior* to adopting the diet. This ‘healthy user bias’ can inflate the apparent benefits of the diet. The review fails to adequately address or control for this bias.</w:t>
      </w:r>
    </w:p>
    <w:p>
      <w:pPr>
        <w:pStyle w:val="Heading2"/>
      </w:pPr>
      <w:r>
        <w:t>📈 Statistical Analysis</w:t>
      </w:r>
    </w:p>
    <w:p>
      <w:pPr>
        <w:pStyle w:val="ListBullet"/>
      </w:pPr>
      <w:r>
        <w:t>Endpoints: Primarily Surrogate Markers (e.g., Cholesterol) – The reliance on surrogate markers (e.g., lipid profiles, blood pressure, insulin sensitivity) rather than clinical endpoints (e.g., heart attack, stroke) is a concern. Surrogate markers may not always accurately predict clinical outcomes.</w:t>
      </w:r>
    </w:p>
    <w:p>
      <w:pPr>
        <w:pStyle w:val="ListBullet"/>
      </w:pPr>
      <w:r>
        <w:t>Risk Reporting: Likely Relative Risk (Due to the nature of the findings)</w:t>
      </w:r>
    </w:p>
    <w:p>
      <w:pPr>
        <w:pStyle w:val="ListBullet"/>
      </w:pPr>
      <w:r>
        <w:t>Significance: Uncertain – The statistical methods used in the meta-analysis are not described, making it impossible to assess the robustness of the findings. The lack of detail raises concerns about potential methodological errors.</w:t>
      </w:r>
    </w:p>
    <w:p>
      <w:pPr>
        <w:pStyle w:val="Heading2"/>
      </w:pPr>
      <w:r>
        <w:t>🏁 Final Verdict</w:t>
      </w:r>
    </w:p>
    <w:p>
      <w:r>
        <w:t>Reject – The study is fundamentally flawed due to inadequate control group definition, a lack of specificity in the intervention, the presence of a significant conflict of interest, and a failure to adequately address confounding factors. The methodological limitations severely compromise the validity of the findings. The study should be rejected.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