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Data Preprocessing and Feature Engineering Strategy</w:t>
      </w:r>
    </w:p>
    <w:p>
      <w:pPr>
        <w:spacing w:after="60"/>
        <w:jc w:val="center"/>
      </w:pPr>
      <w:r>
        <w:rPr>
          <w:i/>
          <w:iCs/>
          <w:sz w:val="24"/>
          <w:szCs w:val="24"/>
        </w:rPr>
        <w:t xml:space="preserve">Bank Marketing Dataset — Term Deposit Subscription Prediction</w:t>
      </w:r>
    </w:p>
    <w:p>
      <w:pPr>
        <w:spacing w:after="60"/>
        <w:jc w:val="center"/>
      </w:pPr>
      <w:r>
        <w:rPr>
          <w:sz w:val="22"/>
          <w:szCs w:val="22"/>
        </w:rPr>
        <w:t xml:space="preserve">Machine Learning Engineer Internship — Week 2 Deliverable</w:t>
      </w:r>
    </w:p>
    <w:p>
      <w:pPr>
        <w:spacing w:after="600"/>
        <w:jc w:val="center"/>
      </w:pPr>
      <w:r>
        <w:rPr>
          <w:sz w:val="22"/>
          <w:szCs w:val="22"/>
        </w:rPr>
        <w:t xml:space="preserve">Prepared by: Aswathi</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 and Data Understanding</w:t>
      </w:r>
    </w:p>
    <w:p>
      <w:pPr>
        <w:spacing w:after="160"/>
      </w:pPr>
      <w:r>
        <w:t xml:space="preserve">Data preprocessing is the stage where the quality of a machine learning model is quietly decided. A well-tuned algorithm trained on poorly prepared data will underperform a simple algorithm trained on carefully prepared data. This document lays out the strategy for cleaning, encoding, and engineering features for the Bank Marketing dataset, informed by direct exploratory analysis of the data rather than generic assumptions.</w:t>
      </w:r>
    </w:p>
    <w:p>
      <w:pPr>
        <w:spacing w:after="160"/>
      </w:pPr>
      <w:r>
        <w:t xml:space="preserve">The analysis below uses the UCI Bank Marketing dataset (4,119-record version, 20 input features), loaded and inspected using pandas. Rather than assuming standard data quality issues, the dataset was explicitly profiled first — checking data types, missing values, duplicates, class balance, and categorical cardinality — so that every preprocessing decision in this document is backed by an observed finding.</w:t>
      </w:r>
    </w:p>
    <w:p>
      <w:pPr>
        <w:pStyle w:val="Heading2"/>
        <w:spacing w:after="120" w:before="240"/>
      </w:pPr>
      <w:r>
        <w:t xml:space="preserve">Data Quality Overview</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df = pd.read_csv('bank-additional.csv', sep=';')</w:t>
      </w:r>
      <w:r>
        <w:rPr>
          <w:rFonts w:ascii="Consolas" w:cs="Consolas" w:eastAsia="Consolas" w:hAnsi="Consolas"/>
          <w:sz w:val="18"/>
          <w:szCs w:val="18"/>
        </w:rPr>
        <w:br/>
        <w:t xml:space="preserve">print(df.shape)</w:t>
      </w:r>
      <w:r>
        <w:rPr>
          <w:rFonts w:ascii="Consolas" w:cs="Consolas" w:eastAsia="Consolas" w:hAnsi="Consolas"/>
          <w:sz w:val="18"/>
          <w:szCs w:val="18"/>
        </w:rPr>
        <w:br/>
        <w:t xml:space="preserve">print(df.isnull().sum().sum())</w:t>
      </w:r>
      <w:r>
        <w:rPr>
          <w:rFonts w:ascii="Consolas" w:cs="Consolas" w:eastAsia="Consolas" w:hAnsi="Consolas"/>
          <w:sz w:val="18"/>
          <w:szCs w:val="18"/>
        </w:rPr>
        <w:br/>
        <w:t xml:space="preserve">print(df.duplicated().sum())</w:t>
      </w:r>
    </w:p>
    <w:p>
      <w:pPr>
        <w:spacing w:after="160"/>
      </w:pPr>
      <w:r>
        <w:rPr>
          <w:b/>
          <w:bCs/>
        </w:rPr>
        <w:t xml:space="preserve">Output: </w:t>
      </w:r>
      <w:r>
        <w:t xml:space="preserve">(4119, 21)  →  0 missing values (standard NaN check)  →  0 duplicate rows</w:t>
      </w:r>
    </w:p>
    <w:p>
      <w:pPr>
        <w:spacing w:after="160"/>
      </w:pPr>
      <w:r>
        <w:t xml:space="preserve">At first glance this dataset appears perfectly clean. However, a standard isnull() check only catches true NaN values — and this dataset does not use blank cells for missing data. Instead, it encodes missingness as the literal string "unknown" within categorical columns. This was only discovered by explicitly searching for that value, which is itself an important preprocessing lesson: never trust a single missing-value check without understanding how the source data represents gaps.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for c in df.select_dtypes(include='object').columns:</w:t>
      </w:r>
      <w:r>
        <w:rPr>
          <w:rFonts w:ascii="Consolas" w:cs="Consolas" w:eastAsia="Consolas" w:hAnsi="Consolas"/>
          <w:sz w:val="18"/>
          <w:szCs w:val="18"/>
        </w:rPr>
        <w:br/>
        <w:t xml:space="preserve">    n = (df[c] == 'unknown').sum()</w:t>
      </w:r>
      <w:r>
        <w:rPr>
          <w:rFonts w:ascii="Consolas" w:cs="Consolas" w:eastAsia="Consolas" w:hAnsi="Consolas"/>
          <w:sz w:val="18"/>
          <w:szCs w:val="18"/>
        </w:rPr>
        <w:br/>
        <w:t xml:space="preserve">    if n &gt; 0:</w:t>
      </w:r>
      <w:r>
        <w:rPr>
          <w:rFonts w:ascii="Consolas" w:cs="Consolas" w:eastAsia="Consolas" w:hAnsi="Consolas"/>
          <w:sz w:val="18"/>
          <w:szCs w:val="18"/>
        </w:rPr>
        <w:br/>
        <w:t xml:space="preserve">        print(c, n, round(100*n/len(df),1), '%')</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rPr>
          <w:tblHeader/>
        </w:trPr>
        <w:tc>
          <w:tcPr>
            <w:tcW w:type="dxa" w:w="2500"/>
            <w:shd w:fill="1F3864" w:val="clear"/>
            <w:tcMar>
              <w:top w:type="dxa" w:w="100"/>
              <w:left w:type="dxa" w:w="120"/>
              <w:bottom w:type="dxa" w:w="100"/>
              <w:right w:type="dxa" w:w="120"/>
            </w:tcMar>
          </w:tcPr>
          <w:p>
            <w:r>
              <w:rPr>
                <w:b/>
                <w:bCs/>
                <w:color w:val="FFFFFF"/>
                <w:sz w:val="20"/>
                <w:szCs w:val="20"/>
              </w:rPr>
              <w:t xml:space="preserve">Column</w:t>
            </w:r>
          </w:p>
        </w:tc>
        <w:tc>
          <w:tcPr>
            <w:tcW w:type="dxa" w:w="2500"/>
            <w:shd w:fill="1F3864" w:val="clear"/>
            <w:tcMar>
              <w:top w:type="dxa" w:w="100"/>
              <w:left w:type="dxa" w:w="120"/>
              <w:bottom w:type="dxa" w:w="100"/>
              <w:right w:type="dxa" w:w="120"/>
            </w:tcMar>
          </w:tcPr>
          <w:p>
            <w:r>
              <w:rPr>
                <w:b/>
                <w:bCs/>
                <w:color w:val="FFFFFF"/>
                <w:sz w:val="20"/>
                <w:szCs w:val="20"/>
              </w:rPr>
              <w:t xml:space="preserve">"Unknown" Rate</w:t>
            </w:r>
          </w:p>
        </w:tc>
        <w:tc>
          <w:tcPr>
            <w:tcW w:type="dxa" w:w="3500"/>
            <w:shd w:fill="1F3864" w:val="clear"/>
            <w:tcMar>
              <w:top w:type="dxa" w:w="100"/>
              <w:left w:type="dxa" w:w="120"/>
              <w:bottom w:type="dxa" w:w="100"/>
              <w:right w:type="dxa" w:w="120"/>
            </w:tcMar>
          </w:tcPr>
          <w:p>
            <w:r>
              <w:rPr>
                <w:b/>
                <w:bCs/>
                <w:color w:val="FFFFFF"/>
                <w:sz w:val="20"/>
                <w:szCs w:val="20"/>
              </w:rPr>
              <w:t xml:space="preserve">Severity</w:t>
            </w:r>
          </w:p>
        </w:tc>
      </w:tr>
      <w:tr>
        <w:tc>
          <w:tcPr>
            <w:tcW w:type="dxa" w:w="2500"/>
            <w:tcMar>
              <w:top w:type="dxa" w:w="100"/>
              <w:left w:type="dxa" w:w="120"/>
              <w:bottom w:type="dxa" w:w="100"/>
              <w:right w:type="dxa" w:w="120"/>
            </w:tcMar>
          </w:tcPr>
          <w:p>
            <w:r>
              <w:rPr>
                <w:b w:val="false"/>
                <w:bCs w:val="false"/>
                <w:sz w:val="20"/>
                <w:szCs w:val="20"/>
              </w:rPr>
              <w:t xml:space="preserve">default</w:t>
            </w:r>
          </w:p>
        </w:tc>
        <w:tc>
          <w:tcPr>
            <w:tcW w:type="dxa" w:w="2500"/>
            <w:tcMar>
              <w:top w:type="dxa" w:w="100"/>
              <w:left w:type="dxa" w:w="120"/>
              <w:bottom w:type="dxa" w:w="100"/>
              <w:right w:type="dxa" w:w="120"/>
            </w:tcMar>
          </w:tcPr>
          <w:p>
            <w:r>
              <w:rPr>
                <w:b w:val="false"/>
                <w:bCs w:val="false"/>
                <w:sz w:val="20"/>
                <w:szCs w:val="20"/>
              </w:rPr>
              <w:t xml:space="preserve">19.5% (803 rows)</w:t>
            </w:r>
          </w:p>
        </w:tc>
        <w:tc>
          <w:tcPr>
            <w:tcW w:type="dxa" w:w="3500"/>
            <w:tcMar>
              <w:top w:type="dxa" w:w="100"/>
              <w:left w:type="dxa" w:w="120"/>
              <w:bottom w:type="dxa" w:w="100"/>
              <w:right w:type="dxa" w:w="120"/>
            </w:tcMar>
          </w:tcPr>
          <w:p>
            <w:r>
              <w:rPr>
                <w:b w:val="false"/>
                <w:bCs w:val="false"/>
                <w:sz w:val="20"/>
                <w:szCs w:val="20"/>
              </w:rPr>
              <w:t xml:space="preserve">High — largest gap by far</w:t>
            </w:r>
          </w:p>
        </w:tc>
      </w:tr>
      <w:tr>
        <w:tc>
          <w:tcPr>
            <w:tcW w:type="dxa" w:w="2500"/>
            <w:tcMar>
              <w:top w:type="dxa" w:w="100"/>
              <w:left w:type="dxa" w:w="120"/>
              <w:bottom w:type="dxa" w:w="100"/>
              <w:right w:type="dxa" w:w="120"/>
            </w:tcMar>
          </w:tcPr>
          <w:p>
            <w:r>
              <w:rPr>
                <w:b w:val="false"/>
                <w:bCs w:val="false"/>
                <w:sz w:val="20"/>
                <w:szCs w:val="20"/>
              </w:rPr>
              <w:t xml:space="preserve">education</w:t>
            </w:r>
          </w:p>
        </w:tc>
        <w:tc>
          <w:tcPr>
            <w:tcW w:type="dxa" w:w="2500"/>
            <w:tcMar>
              <w:top w:type="dxa" w:w="100"/>
              <w:left w:type="dxa" w:w="120"/>
              <w:bottom w:type="dxa" w:w="100"/>
              <w:right w:type="dxa" w:w="120"/>
            </w:tcMar>
          </w:tcPr>
          <w:p>
            <w:r>
              <w:rPr>
                <w:b w:val="false"/>
                <w:bCs w:val="false"/>
                <w:sz w:val="20"/>
                <w:szCs w:val="20"/>
              </w:rPr>
              <w:t xml:space="preserve">4.1% (167 rows)</w:t>
            </w:r>
          </w:p>
        </w:tc>
        <w:tc>
          <w:tcPr>
            <w:tcW w:type="dxa" w:w="3500"/>
            <w:tcMar>
              <w:top w:type="dxa" w:w="100"/>
              <w:left w:type="dxa" w:w="120"/>
              <w:bottom w:type="dxa" w:w="100"/>
              <w:right w:type="dxa" w:w="120"/>
            </w:tcMar>
          </w:tcPr>
          <w:p>
            <w:r>
              <w:rPr>
                <w:b w:val="false"/>
                <w:bCs w:val="false"/>
                <w:sz w:val="20"/>
                <w:szCs w:val="20"/>
              </w:rPr>
              <w:t xml:space="preserve">Moderate</w:t>
            </w:r>
          </w:p>
        </w:tc>
      </w:tr>
      <w:tr>
        <w:tc>
          <w:tcPr>
            <w:tcW w:type="dxa" w:w="2500"/>
            <w:tcMar>
              <w:top w:type="dxa" w:w="100"/>
              <w:left w:type="dxa" w:w="120"/>
              <w:bottom w:type="dxa" w:w="100"/>
              <w:right w:type="dxa" w:w="120"/>
            </w:tcMar>
          </w:tcPr>
          <w:p>
            <w:r>
              <w:rPr>
                <w:b w:val="false"/>
                <w:bCs w:val="false"/>
                <w:sz w:val="20"/>
                <w:szCs w:val="20"/>
              </w:rPr>
              <w:t xml:space="preserve">housing</w:t>
            </w:r>
          </w:p>
        </w:tc>
        <w:tc>
          <w:tcPr>
            <w:tcW w:type="dxa" w:w="2500"/>
            <w:tcMar>
              <w:top w:type="dxa" w:w="100"/>
              <w:left w:type="dxa" w:w="120"/>
              <w:bottom w:type="dxa" w:w="100"/>
              <w:right w:type="dxa" w:w="120"/>
            </w:tcMar>
          </w:tcPr>
          <w:p>
            <w:r>
              <w:rPr>
                <w:b w:val="false"/>
                <w:bCs w:val="false"/>
                <w:sz w:val="20"/>
                <w:szCs w:val="20"/>
              </w:rPr>
              <w:t xml:space="preserve">2.5% (105 rows)</w:t>
            </w:r>
          </w:p>
        </w:tc>
        <w:tc>
          <w:tcPr>
            <w:tcW w:type="dxa" w:w="3500"/>
            <w:tcMar>
              <w:top w:type="dxa" w:w="100"/>
              <w:left w:type="dxa" w:w="120"/>
              <w:bottom w:type="dxa" w:w="100"/>
              <w:right w:type="dxa" w:w="120"/>
            </w:tcMar>
          </w:tcPr>
          <w:p>
            <w:r>
              <w:rPr>
                <w:b w:val="false"/>
                <w:bCs w:val="false"/>
                <w:sz w:val="20"/>
                <w:szCs w:val="20"/>
              </w:rPr>
              <w:t xml:space="preserve">Low-moderate</w:t>
            </w:r>
          </w:p>
        </w:tc>
      </w:tr>
      <w:tr>
        <w:tc>
          <w:tcPr>
            <w:tcW w:type="dxa" w:w="2500"/>
            <w:tcMar>
              <w:top w:type="dxa" w:w="100"/>
              <w:left w:type="dxa" w:w="120"/>
              <w:bottom w:type="dxa" w:w="100"/>
              <w:right w:type="dxa" w:w="120"/>
            </w:tcMar>
          </w:tcPr>
          <w:p>
            <w:r>
              <w:rPr>
                <w:b w:val="false"/>
                <w:bCs w:val="false"/>
                <w:sz w:val="20"/>
                <w:szCs w:val="20"/>
              </w:rPr>
              <w:t xml:space="preserve">loan</w:t>
            </w:r>
          </w:p>
        </w:tc>
        <w:tc>
          <w:tcPr>
            <w:tcW w:type="dxa" w:w="2500"/>
            <w:tcMar>
              <w:top w:type="dxa" w:w="100"/>
              <w:left w:type="dxa" w:w="120"/>
              <w:bottom w:type="dxa" w:w="100"/>
              <w:right w:type="dxa" w:w="120"/>
            </w:tcMar>
          </w:tcPr>
          <w:p>
            <w:r>
              <w:rPr>
                <w:b w:val="false"/>
                <w:bCs w:val="false"/>
                <w:sz w:val="20"/>
                <w:szCs w:val="20"/>
              </w:rPr>
              <w:t xml:space="preserve">2.5% (105 rows)</w:t>
            </w:r>
          </w:p>
        </w:tc>
        <w:tc>
          <w:tcPr>
            <w:tcW w:type="dxa" w:w="3500"/>
            <w:tcMar>
              <w:top w:type="dxa" w:w="100"/>
              <w:left w:type="dxa" w:w="120"/>
              <w:bottom w:type="dxa" w:w="100"/>
              <w:right w:type="dxa" w:w="120"/>
            </w:tcMar>
          </w:tcPr>
          <w:p>
            <w:r>
              <w:rPr>
                <w:b w:val="false"/>
                <w:bCs w:val="false"/>
                <w:sz w:val="20"/>
                <w:szCs w:val="20"/>
              </w:rPr>
              <w:t xml:space="preserve">Low-moderate</w:t>
            </w:r>
          </w:p>
        </w:tc>
      </w:tr>
      <w:tr>
        <w:tc>
          <w:tcPr>
            <w:tcW w:type="dxa" w:w="2500"/>
            <w:tcMar>
              <w:top w:type="dxa" w:w="100"/>
              <w:left w:type="dxa" w:w="120"/>
              <w:bottom w:type="dxa" w:w="100"/>
              <w:right w:type="dxa" w:w="120"/>
            </w:tcMar>
          </w:tcPr>
          <w:p>
            <w:r>
              <w:rPr>
                <w:b w:val="false"/>
                <w:bCs w:val="false"/>
                <w:sz w:val="20"/>
                <w:szCs w:val="20"/>
              </w:rPr>
              <w:t xml:space="preserve">job</w:t>
            </w:r>
          </w:p>
        </w:tc>
        <w:tc>
          <w:tcPr>
            <w:tcW w:type="dxa" w:w="2500"/>
            <w:tcMar>
              <w:top w:type="dxa" w:w="100"/>
              <w:left w:type="dxa" w:w="120"/>
              <w:bottom w:type="dxa" w:w="100"/>
              <w:right w:type="dxa" w:w="120"/>
            </w:tcMar>
          </w:tcPr>
          <w:p>
            <w:r>
              <w:rPr>
                <w:b w:val="false"/>
                <w:bCs w:val="false"/>
                <w:sz w:val="20"/>
                <w:szCs w:val="20"/>
              </w:rPr>
              <w:t xml:space="preserve">0.9% (39 rows)</w:t>
            </w:r>
          </w:p>
        </w:tc>
        <w:tc>
          <w:tcPr>
            <w:tcW w:type="dxa" w:w="3500"/>
            <w:tcMar>
              <w:top w:type="dxa" w:w="100"/>
              <w:left w:type="dxa" w:w="120"/>
              <w:bottom w:type="dxa" w:w="100"/>
              <w:right w:type="dxa" w:w="120"/>
            </w:tcMar>
          </w:tcPr>
          <w:p>
            <w:r>
              <w:rPr>
                <w:b w:val="false"/>
                <w:bCs w:val="false"/>
                <w:sz w:val="20"/>
                <w:szCs w:val="20"/>
              </w:rPr>
              <w:t xml:space="preserve">Low</w:t>
            </w:r>
          </w:p>
        </w:tc>
      </w:tr>
      <w:tr>
        <w:tc>
          <w:tcPr>
            <w:tcW w:type="dxa" w:w="2500"/>
            <w:tcMar>
              <w:top w:type="dxa" w:w="100"/>
              <w:left w:type="dxa" w:w="120"/>
              <w:bottom w:type="dxa" w:w="100"/>
              <w:right w:type="dxa" w:w="120"/>
            </w:tcMar>
          </w:tcPr>
          <w:p>
            <w:r>
              <w:rPr>
                <w:b w:val="false"/>
                <w:bCs w:val="false"/>
                <w:sz w:val="20"/>
                <w:szCs w:val="20"/>
              </w:rPr>
              <w:t xml:space="preserve">marital</w:t>
            </w:r>
          </w:p>
        </w:tc>
        <w:tc>
          <w:tcPr>
            <w:tcW w:type="dxa" w:w="2500"/>
            <w:tcMar>
              <w:top w:type="dxa" w:w="100"/>
              <w:left w:type="dxa" w:w="120"/>
              <w:bottom w:type="dxa" w:w="100"/>
              <w:right w:type="dxa" w:w="120"/>
            </w:tcMar>
          </w:tcPr>
          <w:p>
            <w:r>
              <w:rPr>
                <w:b w:val="false"/>
                <w:bCs w:val="false"/>
                <w:sz w:val="20"/>
                <w:szCs w:val="20"/>
              </w:rPr>
              <w:t xml:space="preserve">0.3% (11 rows)</w:t>
            </w:r>
          </w:p>
        </w:tc>
        <w:tc>
          <w:tcPr>
            <w:tcW w:type="dxa" w:w="3500"/>
            <w:tcMar>
              <w:top w:type="dxa" w:w="100"/>
              <w:left w:type="dxa" w:w="120"/>
              <w:bottom w:type="dxa" w:w="100"/>
              <w:right w:type="dxa" w:w="120"/>
            </w:tcMar>
          </w:tcPr>
          <w:p>
            <w:r>
              <w:rPr>
                <w:b w:val="false"/>
                <w:bCs w:val="false"/>
                <w:sz w:val="20"/>
                <w:szCs w:val="20"/>
              </w:rPr>
              <w:t xml:space="preserve">Very low</w:t>
            </w:r>
          </w:p>
        </w:tc>
      </w:tr>
    </w:tbl>
    <w:p>
      <w:pPr>
        <w:spacing w:after="200"/>
      </w:pPr>
    </w:p>
    <w:p>
      <w:pPr>
        <w:spacing w:after="160"/>
      </w:pPr>
      <w:r>
        <w:t xml:space="preserve">The target variable itself is also imbalanced: 89.1% of clients did not subscribe ("no") versus 10.9% who did ("yes"). This imbalance does not require row-level cleaning, but it directly shapes both the feature engineering approach (features should help separate a genuinely rare class) and, later, the evaluation strategy (Week 4).</w:t>
      </w:r>
    </w:p>
    <w:p>
      <w:pPr>
        <w:pStyle w:val="Heading1"/>
        <w:spacing w:after="160" w:before="360"/>
      </w:pPr>
      <w:r>
        <w:t xml:space="preserve">2. Data Cleaning Strategy</w:t>
      </w:r>
    </w:p>
    <w:p>
      <w:pPr>
        <w:pStyle w:val="Heading2"/>
        <w:spacing w:after="120" w:before="240"/>
      </w:pPr>
      <w:r>
        <w:t xml:space="preserve">2.1 Handling "Unknown" Values</w:t>
      </w:r>
    </w:p>
    <w:p>
      <w:pPr>
        <w:spacing w:after="160"/>
      </w:pPr>
      <w:r>
        <w:t xml:space="preserve">Rather than applying one blanket rule, the cleaning strategy is tailored to each column's missingness rate and role:</w:t>
      </w:r>
    </w:p>
    <w:p>
      <w:pPr>
        <w:spacing w:after="160"/>
      </w:pPr>
      <w:r>
        <w:rPr>
          <w:b/>
          <w:bCs/>
        </w:rPr>
        <w:t xml:space="preserve">default (19.5% unknown): </w:t>
      </w:r>
      <w:r>
        <w:t xml:space="preserve">Too large a proportion to safely drop those rows, which would remove roughly one-fifth of the dataset and bias the sample. "Unknown" will be kept as its own explicit category during encoding, since it may itself be informative (customers who decline to disclose credit default status could differ systematically from those who don't).</w:t>
      </w:r>
    </w:p>
    <w:p>
      <w:pPr>
        <w:spacing w:after="160"/>
      </w:pPr>
      <w:r>
        <w:rPr>
          <w:b/>
          <w:bCs/>
        </w:rPr>
        <w:t xml:space="preserve">education, housing, loan, job, marital (0.3%–4.1% unknown): </w:t>
      </w:r>
      <w:r>
        <w:t xml:space="preserve">Low enough proportions that "unknown" will also be retained as a category rather than imputed, keeping the approach consistent across the dataset and avoiding the risk of a poorly justified imputation (e.g. guessing someone's job) that introduces artificial signal.</w:t>
      </w:r>
    </w:p>
    <w:p>
      <w:pPr>
        <w:spacing w:after="160"/>
      </w:pPr>
      <w:r>
        <w:t xml:space="preserve">This is a deliberate departure from simply dropping or imputing missing values — it treats "unknown" as real information the bank itself recorded, not noise to be erased.</w:t>
      </w:r>
    </w:p>
    <w:p>
      <w:pPr>
        <w:pStyle w:val="Heading2"/>
        <w:spacing w:after="120" w:before="240"/>
      </w:pPr>
      <w:r>
        <w:t xml:space="preserve">2.2 Duplicate Records</w:t>
      </w:r>
    </w:p>
    <w:p>
      <w:pPr>
        <w:spacing w:after="160"/>
      </w:pPr>
      <w:r>
        <w:t xml:space="preserve">No duplicate rows were found (df.duplicated().sum() == 0), so no deduplication step is required for this dataset.</w:t>
      </w:r>
    </w:p>
    <w:p>
      <w:pPr>
        <w:pStyle w:val="Heading2"/>
        <w:spacing w:after="120" w:before="240"/>
      </w:pPr>
      <w:r>
        <w:t xml:space="preserve">2.3 The pdays Sentinel Value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print((df['pdays'] == 999).sum(), 'of', len(df))</w:t>
      </w:r>
    </w:p>
    <w:p>
      <w:pPr>
        <w:spacing w:after="160"/>
      </w:pPr>
      <w:r>
        <w:rPr>
          <w:b/>
          <w:bCs/>
        </w:rPr>
        <w:t xml:space="preserve">Output: </w:t>
      </w:r>
      <w:r>
        <w:t xml:space="preserve">3959 of 4119 (96.1%)</w:t>
      </w:r>
    </w:p>
    <w:p>
      <w:pPr>
        <w:spacing w:after="160"/>
      </w:pPr>
      <w:r>
        <w:t xml:space="preserve">The pdays column records the number of days since a client was last contacted in a previous campaign, but a value of 999 is a documented sentinel meaning "never previously contacted" — it is not a genuine numeric distance. Feeding this directly into a model would make it think these clients were contacted 999 days ago, badly distorting any distance-based calculation or scaling. The cleaning strategy converts this into an explicit binary flag (contacted_before) plus a numeric field that is only meaningful when that flag is true — detailed further in Section 3.</w:t>
      </w:r>
    </w:p>
    <w:p>
      <w:pPr>
        <w:pStyle w:val="Heading2"/>
        <w:spacing w:after="120" w:before="240"/>
      </w:pPr>
      <w:r>
        <w:t xml:space="preserve">2.4 Outlier Considerations</w:t>
      </w:r>
    </w:p>
    <w:p>
      <w:pPr>
        <w:spacing w:after="160"/>
      </w:pPr>
      <w:r>
        <w:t xml:space="preserve">The campaign column (number of contacts during this campaign) has a maximum of 35 against a median of 2, and duration has a long right tail (max 3,643 seconds). Rather than removing these as errors, they will be retained: unusually persistent campaigns and unusually long calls are realistic, meaningful banking behaviors, not data entry mistakes. Tree-based models are naturally robust to this kind of skew; for distance-based or linear models, scaling (Section 3) will reduce their outsized influence without deleting real data.</w:t>
      </w:r>
    </w:p>
    <w:p>
      <w:pPr>
        <w:pStyle w:val="Heading1"/>
        <w:spacing w:after="160" w:before="360"/>
      </w:pPr>
      <w:r>
        <w:t xml:space="preserve">3. Feature Engineering Strategy</w:t>
      </w:r>
    </w:p>
    <w:p>
      <w:pPr>
        <w:pStyle w:val="Heading2"/>
        <w:spacing w:after="120" w:before="240"/>
      </w:pPr>
      <w:r>
        <w:t xml:space="preserve">3.1 The duration Leakage Decision</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print(df.groupby('y')['duration'].mean().round(1))</w:t>
      </w:r>
    </w:p>
    <w:p>
      <w:pPr>
        <w:spacing w:after="160"/>
      </w:pPr>
      <w:r>
        <w:rPr>
          <w:b/>
          <w:bCs/>
        </w:rPr>
        <w:t xml:space="preserve">Output: </w:t>
      </w:r>
      <w:r>
        <w:t xml:space="preserve">no → 219.4 seconds average · yes → 560.8 seconds average</w:t>
      </w:r>
    </w:p>
    <w:p>
      <w:pPr>
        <w:spacing w:after="160"/>
      </w:pPr>
      <w:r>
        <w:t xml:space="preserve">This confirms the leakage risk flagged in the Week 1 plan with real evidence: call duration is more than twice as long, on average, for successful outcomes. That is because duration is a consequence of the call going well, not a cause the bank could know in advance. A model trained with duration included would show inflated accuracy that could never be reproduced in a real deployment, since duration is unknown before the call happens. Strategy: two model variants will be considered in Week 3 — a deployment-realistic model that excludes duration entirely, and, purely for comparison, a benchmark variant that includes it to illustrate the size of the leakage effect.</w:t>
      </w:r>
    </w:p>
    <w:p>
      <w:pPr>
        <w:pStyle w:val="Heading2"/>
        <w:spacing w:after="120" w:before="240"/>
      </w:pPr>
      <w:r>
        <w:t xml:space="preserve">3.2 Encoding Categorical Features</w:t>
      </w:r>
    </w:p>
    <w:p>
      <w:pPr>
        <w:spacing w:after="160"/>
      </w:pPr>
      <w:r>
        <w:rPr>
          <w:b/>
          <w:bCs/>
        </w:rPr>
        <w:t xml:space="preserve">One-hot encoding: </w:t>
      </w:r>
      <w:r>
        <w:t xml:space="preserve">For nominal (unordered) categoricals with manageable cardinality — job (12 categories), marital (4), contact (2), poutcome (3), and month/day_of_week. Each becomes a set of binary columns, avoiding the false sense of order a plain numeric label would imply.</w:t>
      </w:r>
    </w:p>
    <w:p>
      <w:pPr>
        <w:spacing w:after="160"/>
      </w:pPr>
      <w:r>
        <w:rPr>
          <w:b/>
          <w:bCs/>
        </w:rPr>
        <w:t xml:space="preserve">Ordinal encoding: </w:t>
      </w:r>
      <w:r>
        <w:t xml:space="preserve">For education, which has a genuine natural order (illiterate &lt; basic.4y &lt; basic.6y &lt; basic.9y &lt; high.school &lt; professional.course &lt; university.degree). Preserving that order as an ordinal scale keeps a meaningful signal that one-hot encoding would discard.</w:t>
      </w:r>
    </w:p>
    <w:p>
      <w:pPr>
        <w:spacing w:after="160"/>
      </w:pPr>
      <w:r>
        <w:rPr>
          <w:b/>
          <w:bCs/>
        </w:rPr>
        <w:t xml:space="preserve">Binary mapping: </w:t>
      </w:r>
      <w:r>
        <w:t xml:space="preserve">For default, housing, and loan — yes/no/unknown fields — mapped to 0/1 with unknown retained as its own indicator column (see Section 2.1).</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df_encoded = pd.get_dummies(df, columns=['job','marital','contact','poutcome','month','day_of_week'])</w:t>
      </w:r>
      <w:r>
        <w:rPr>
          <w:rFonts w:ascii="Consolas" w:cs="Consolas" w:eastAsia="Consolas" w:hAnsi="Consolas"/>
          <w:sz w:val="18"/>
          <w:szCs w:val="18"/>
        </w:rPr>
        <w:br/>
        <w:t xml:space="preserve">edu_order = ['unknown','illiterate','basic.4y','basic.6y','basic.9y',</w:t>
      </w:r>
      <w:r>
        <w:rPr>
          <w:rFonts w:ascii="Consolas" w:cs="Consolas" w:eastAsia="Consolas" w:hAnsi="Consolas"/>
          <w:sz w:val="18"/>
          <w:szCs w:val="18"/>
        </w:rPr>
        <w:br/>
        <w:t xml:space="preserve">             'high.school','professional.course','university.degree']</w:t>
      </w:r>
      <w:r>
        <w:rPr>
          <w:rFonts w:ascii="Consolas" w:cs="Consolas" w:eastAsia="Consolas" w:hAnsi="Consolas"/>
          <w:sz w:val="18"/>
          <w:szCs w:val="18"/>
        </w:rPr>
        <w:br/>
        <w:t xml:space="preserve">df_encoded['education'] = df['education'].map({v:i for i,v in enumerate(edu_order)})</w:t>
      </w:r>
    </w:p>
    <w:p>
      <w:pPr>
        <w:pStyle w:val="Heading2"/>
        <w:spacing w:after="120" w:before="240"/>
      </w:pPr>
      <w:r>
        <w:t xml:space="preserve">3.3 New Feature: contacted_before</w:t>
      </w:r>
    </w:p>
    <w:p>
      <w:pPr>
        <w:spacing w:after="160"/>
      </w:pPr>
      <w:r>
        <w:t xml:space="preserve">Derived directly from the pdays sentinel discussed in Section 2.3:</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df['contacted_before'] = (df['pdays'] != 999).astype(int)</w:t>
      </w:r>
      <w:r>
        <w:rPr>
          <w:rFonts w:ascii="Consolas" w:cs="Consolas" w:eastAsia="Consolas" w:hAnsi="Consolas"/>
          <w:sz w:val="18"/>
          <w:szCs w:val="18"/>
        </w:rPr>
        <w:br/>
        <w:t xml:space="preserve">df['pdays_clean'] = df['pdays'].replace(999, 0)</w:t>
      </w:r>
    </w:p>
    <w:p>
      <w:pPr>
        <w:spacing w:after="160"/>
      </w:pPr>
      <w:r>
        <w:t xml:space="preserve">This splits one ambiguous numeric column into a clean binary flag (was this client ever contacted before?) plus a numeric column that is only meaningful when that flag is 1, removing the distortion the raw sentinel value would otherwise cause.</w:t>
      </w:r>
    </w:p>
    <w:p>
      <w:pPr>
        <w:pStyle w:val="Heading2"/>
        <w:spacing w:after="120" w:before="240"/>
      </w:pPr>
      <w:r>
        <w:t xml:space="preserve">3.4 Scaling Numeric Features</w:t>
      </w:r>
    </w:p>
    <w:p>
      <w:pPr>
        <w:spacing w:after="160"/>
      </w:pPr>
      <w:r>
        <w:t xml:space="preserve">age, campaign, previous, pdays_clean, and the socio-economic indicators (emp.var.rate, cons.price.idx, cons.conf.idx, euribor3m, nr.employed) will be standardized using scikit-learn's StandardScaler. Scaling is required for distance-based or gradient-based models (e.g. logistic regression) but not for tree-based models — the final choice of whether to scale will be finalized once the Week 3 model type is selected.</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from sklearn.preprocessing import StandardScaler</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df[numeric_cols] = scaler.fit_transform(df[numeric_cols])</w:t>
      </w:r>
    </w:p>
    <w:p>
      <w:pPr>
        <w:pStyle w:val="Heading2"/>
        <w:spacing w:after="120" w:before="240"/>
      </w:pPr>
      <w:r>
        <w:t xml:space="preserve">3.5 Dimensionality Consideration</w:t>
      </w:r>
    </w:p>
    <w:p>
      <w:pPr>
        <w:spacing w:after="160"/>
      </w:pPr>
      <w:r>
        <w:t xml:space="preserve">One-hot encoding job, month, and day_of_week will expand the feature space considerably (roughly 12 + 10 + 5 extra columns). Given the dataset's modest size (4,119 rows), this is monitored but not treated as an immediate problem — dimensionality reduction (e.g. PCA) will only be introduced in Week 5 if model performance or training time indicates it's needed, rather than applied preemptively without evidence.</w:t>
      </w:r>
    </w:p>
    <w:p>
      <w:pPr>
        <w:pStyle w:val="Heading1"/>
        <w:spacing w:after="160" w:before="360"/>
      </w:pPr>
      <w:r>
        <w:t xml:space="preserve">4. Plan Execution: Step-by-Step Preprocessing Pipeline</w:t>
      </w:r>
    </w:p>
    <w:p>
      <w:pPr>
        <w:spacing w:after="160"/>
      </w:pPr>
      <w:r>
        <w:t xml:space="preserve">The following sequence is the intended execution order once implementation begins in Week 3, with expected outputs based on the exploratory findings above.</w:t>
      </w:r>
    </w:p>
    <w:p>
      <w:pPr>
        <w:pStyle w:val="Heading2"/>
        <w:spacing w:after="120" w:before="240"/>
      </w:pPr>
      <w:r>
        <w:t xml:space="preserve">Step 1 — Load and Profile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df = pd.read_csv('bank-additional.csv', sep=';')</w:t>
      </w:r>
      <w:r>
        <w:rPr>
          <w:rFonts w:ascii="Consolas" w:cs="Consolas" w:eastAsia="Consolas" w:hAnsi="Consolas"/>
          <w:sz w:val="18"/>
          <w:szCs w:val="18"/>
        </w:rPr>
        <w:br/>
        <w:t xml:space="preserve">df.info()</w:t>
      </w:r>
      <w:r>
        <w:rPr>
          <w:rFonts w:ascii="Consolas" w:cs="Consolas" w:eastAsia="Consolas" w:hAnsi="Consolas"/>
          <w:sz w:val="18"/>
          <w:szCs w:val="18"/>
        </w:rPr>
        <w:br/>
        <w:t xml:space="preserve">df.describe()</w:t>
      </w:r>
    </w:p>
    <w:p>
      <w:pPr>
        <w:spacing w:after="160"/>
      </w:pPr>
      <w:r>
        <w:t xml:space="preserve">Expected outcome: confirms 4,119 rows, 21 columns, data types as profiled above.</w:t>
      </w:r>
    </w:p>
    <w:p>
      <w:pPr>
        <w:pStyle w:val="Heading2"/>
        <w:spacing w:after="120" w:before="240"/>
      </w:pPr>
      <w:r>
        <w:t xml:space="preserve">Step 2 — Handle Missing/Sentinel Values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df['contacted_before'] = (df['pdays'] != 999).astype(int)</w:t>
      </w:r>
      <w:r>
        <w:rPr>
          <w:rFonts w:ascii="Consolas" w:cs="Consolas" w:eastAsia="Consolas" w:hAnsi="Consolas"/>
          <w:sz w:val="18"/>
          <w:szCs w:val="18"/>
        </w:rPr>
        <w:br/>
        <w:t xml:space="preserve">df['pdays_clean'] = df['pdays'].replace(999, 0)</w:t>
      </w:r>
      <w:r>
        <w:rPr>
          <w:rFonts w:ascii="Consolas" w:cs="Consolas" w:eastAsia="Consolas" w:hAnsi="Consolas"/>
          <w:sz w:val="18"/>
          <w:szCs w:val="18"/>
        </w:rPr>
        <w:br/>
        <w:t xml:space="preserve">df = df.drop(columns=['pdays'])</w:t>
      </w:r>
    </w:p>
    <w:p>
      <w:pPr>
        <w:spacing w:after="160"/>
      </w:pPr>
      <w:r>
        <w:t xml:space="preserve">Expected outcome: pdays sentinel resolved into two clean, model-safe features.</w:t>
      </w:r>
    </w:p>
    <w:p>
      <w:pPr>
        <w:pStyle w:val="Heading2"/>
        <w:spacing w:after="120" w:before="240"/>
      </w:pPr>
      <w:r>
        <w:t xml:space="preserve">Step 3 — Drop Leakage-Risk Column (deployment-realistic variant)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df_deploy = df.drop(columns=['duration'])</w:t>
      </w:r>
    </w:p>
    <w:p>
      <w:pPr>
        <w:spacing w:after="160"/>
      </w:pPr>
      <w:r>
        <w:t xml:space="preserve">Expected outcome: a modeling dataset that reflects information genuinely available before a call is made.</w:t>
      </w:r>
    </w:p>
    <w:p>
      <w:pPr>
        <w:pStyle w:val="Heading2"/>
        <w:spacing w:after="120" w:before="240"/>
      </w:pPr>
      <w:r>
        <w:t xml:space="preserve">Step 4 — Encode Categorical Variables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df_encoded = pd.get_dummies(df_deploy, columns=nominal_cols)</w:t>
      </w:r>
      <w:r>
        <w:rPr>
          <w:rFonts w:ascii="Consolas" w:cs="Consolas" w:eastAsia="Consolas" w:hAnsi="Consolas"/>
          <w:sz w:val="18"/>
          <w:szCs w:val="18"/>
        </w:rPr>
        <w:br/>
        <w:t xml:space="preserve">df_encoded['education'] = df_deploy['education'].map(education_order_map)</w:t>
      </w:r>
    </w:p>
    <w:p>
      <w:pPr>
        <w:spacing w:after="160"/>
      </w:pPr>
      <w:r>
        <w:t xml:space="preserve">Expected outcome: fully numeric feature matrix ready for scaling.</w:t>
      </w:r>
    </w:p>
    <w:p>
      <w:pPr>
        <w:pStyle w:val="Heading2"/>
        <w:spacing w:after="120" w:before="240"/>
      </w:pPr>
      <w:r>
        <w:t xml:space="preserve">Step 5 — Scale Numeric Features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from sklearn.preprocessing import StandardScaler</w:t>
      </w:r>
      <w:r>
        <w:rPr>
          <w:rFonts w:ascii="Consolas" w:cs="Consolas" w:eastAsia="Consolas" w:hAnsi="Consolas"/>
          <w:sz w:val="18"/>
          <w:szCs w:val="18"/>
        </w:rPr>
        <w:br/>
        <w:t xml:space="preserve">df_encoded[numeric_cols] = StandardScaler().fit_transform(df_encoded[numeric_cols])</w:t>
      </w:r>
    </w:p>
    <w:p>
      <w:pPr>
        <w:spacing w:after="160"/>
      </w:pPr>
      <w:r>
        <w:t xml:space="preserve">Expected outcome: numeric features on a comparable scale, required for distance-sensitive models.</w:t>
      </w:r>
    </w:p>
    <w:p>
      <w:pPr>
        <w:pStyle w:val="Heading2"/>
        <w:spacing w:after="120" w:before="240"/>
      </w:pPr>
      <w:r>
        <w:t xml:space="preserve">Step 6 — Stratified Train-Test Split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from sklearn.model_selection import train_test_split</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stratify=y, random_state=42)</w:t>
      </w:r>
    </w:p>
    <w:p>
      <w:pPr>
        <w:spacing w:after="160"/>
      </w:pPr>
      <w:r>
        <w:t xml:space="preserve">Expected outcome: training and test sets that preserve the original 89/11 class ratio, avoiding an accidental imbalance shift from random splitting.</w:t>
      </w:r>
    </w:p>
    <w:p>
      <w:pPr>
        <w:pStyle w:val="Heading1"/>
        <w:spacing w:after="160" w:before="360"/>
      </w:pPr>
      <w:r>
        <w:t xml:space="preserve">5. Documentation Notes</w:t>
      </w:r>
    </w:p>
    <w:p>
      <w:pPr>
        <w:spacing w:after="160"/>
      </w:pPr>
      <w:r>
        <w:t xml:space="preserve">This document is organized with numbered sections and a table of contents so each preprocessing decision can be traced back to the specific exploratory finding that motivated it. In the Week 3 notebook, each step above will be implemented as a discrete, commented cell so the pipeline stays auditable and easy to explain: what was found, what was decided, and why.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2026-09-09T10:45:27.067Z</dcterms:created>
  <dcterms:modified xsi:type="dcterms:W3CDTF">2026-09-09T10:45:27.093Z</dcterms:modified>
</cp:coreProperties>
</file>

<file path=docProps/custom.xml><?xml version="1.0" encoding="utf-8"?>
<Properties xmlns="http://schemas.openxmlformats.org/officeDocument/2006/custom-properties" xmlns:vt="http://schemas.openxmlformats.org/officeDocument/2006/docPropsVTypes"/>
</file>