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Model Implementation and Code Documentation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Bank Marketing Dataset — Term Deposit Subscription Prediction</w:t>
      </w:r>
    </w:p>
    <w:p>
      <w:pPr>
        <w:spacing w:after="60"/>
        <w:jc w:val="center"/>
      </w:pPr>
      <w:r>
        <w:rPr>
          <w:sz w:val="22"/>
          <w:szCs w:val="22"/>
        </w:rPr>
        <w:t xml:space="preserve">Machine Learning Engineer Internship — Week 3 Deliverable</w:t>
      </w:r>
    </w:p>
    <w:p>
      <w:pPr>
        <w:spacing w:after="600"/>
        <w:jc w:val="center"/>
      </w:pPr>
      <w:r>
        <w:rPr>
          <w:sz w:val="22"/>
          <w:szCs w:val="22"/>
        </w:rPr>
        <w:t xml:space="preserve">Prepared by: Aswathi</w:t>
      </w:r>
    </w:p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Model Selection</w:t>
      </w:r>
    </w:p>
    <w:p>
      <w:pPr>
        <w:spacing w:after="160"/>
      </w:pPr>
      <w:r>
        <w:t xml:space="preserve">The algorithm selected for this baseline implementation is Logistic Regression, chosen over alternatives such as Decision Trees or Support Vector Machines for two main reasons specific to this problem.</w:t>
      </w:r>
    </w:p>
    <w:p>
      <w:pPr>
        <w:spacing w:after="160"/>
      </w:pPr>
      <w:r>
        <w:rPr>
          <w:b/>
          <w:bCs/>
        </w:rPr>
        <w:t xml:space="preserve">Interpretability: </w:t>
      </w:r>
      <w:r>
        <w:t xml:space="preserve">the business context matters here — a bank deciding which clients to prioritize for a marketing call benefits from a model that can explain why it predicts "yes" for a given client (via feature coefficients), not just a black-box classification.</w:t>
      </w:r>
    </w:p>
    <w:p>
      <w:pPr>
        <w:spacing w:after="160"/>
      </w:pPr>
      <w:r>
        <w:rPr>
          <w:b/>
          <w:bCs/>
        </w:rPr>
        <w:t xml:space="preserve">A defensible baseline: </w:t>
      </w:r>
      <w:r>
        <w:t xml:space="preserve">Logistic Regression is fast to train and provides a clean reference point. More complex models (e.g. ensemble methods) can be evaluated later against this baseline in Week 5, so any added complexity has to earn its place by outperforming a simple, transparent model.</w:t>
      </w:r>
    </w:p>
    <w:p>
      <w:pPr>
        <w:spacing w:after="160"/>
      </w:pPr>
      <w:r>
        <w:t xml:space="preserve">This decision directly builds on the planning done in Week 1, where interpretability was listed as an explicit objective alongside predictive performance.</w:t>
      </w:r>
    </w:p>
    <w:p>
      <w:pPr>
        <w:pStyle w:val="Heading1"/>
        <w:spacing w:after="160" w:before="360"/>
      </w:pPr>
      <w:r>
        <w:t xml:space="preserve">2. Algorithm Implementation</w:t>
      </w:r>
    </w:p>
    <w:p>
      <w:pPr>
        <w:pStyle w:val="Heading2"/>
        <w:spacing w:after="120" w:before="240"/>
      </w:pPr>
      <w:r>
        <w:t xml:space="preserve">2.1 Hypothesis and Assumptions</w:t>
      </w:r>
    </w:p>
    <w:p>
      <w:pPr>
        <w:spacing w:after="160"/>
      </w:pPr>
      <w:r>
        <w:rPr>
          <w:b/>
          <w:bCs/>
        </w:rPr>
        <w:t xml:space="preserve">Hypothesis: </w:t>
      </w:r>
      <w:r>
        <w:t xml:space="preserve">client demographic, financial, and campaign-contact features contain sufficient signal to meaningfully separate clients likely to subscribe from those who are not — performing better than a majority-class or random baseline.</w:t>
      </w:r>
    </w:p>
    <w:p>
      <w:pPr>
        <w:spacing w:after="160"/>
      </w:pPr>
      <w:r>
        <w:rPr>
          <w:b/>
          <w:bCs/>
        </w:rPr>
        <w:t xml:space="preserve">Key assumption: </w:t>
      </w:r>
      <w:r>
        <w:t xml:space="preserve">Logistic Regression assumes a roughly linear relationship between the input features and the log-odds of the outcome. This is a simplification — some real relationships (for example, age) may be non-linear — but it is a reasonable, transparent starting point precisely because deviations from it can be investigated later.</w:t>
      </w:r>
    </w:p>
    <w:p>
      <w:pPr>
        <w:spacing w:after="160"/>
      </w:pPr>
      <w:r>
        <w:rPr>
          <w:b/>
          <w:bCs/>
        </w:rPr>
        <w:t xml:space="preserve">Benefit of this approach: </w:t>
      </w:r>
      <w:r>
        <w:t xml:space="preserve">coefficients can be directly inspected to understand which features push a prediction toward "yes" or "no", which is valuable both for the bank's business use case and for explaining the model's behavior in review.</w:t>
      </w:r>
    </w:p>
    <w:p>
      <w:pPr>
        <w:pStyle w:val="Heading2"/>
        <w:spacing w:after="120" w:before="240"/>
      </w:pPr>
      <w:r>
        <w:t xml:space="preserve">2.2 Data Preparation (Recap from Week 2)</w:t>
      </w:r>
    </w:p>
    <w:p>
      <w:pPr>
        <w:spacing w:after="160"/>
      </w:pPr>
      <w:r>
        <w:t xml:space="preserve">The preprocessing pipeline defined in Week 2 was implemented exactly as planned: the pdays sentinel value (999) was split into a contacted_before flag and a cleaned numeric column, the duration feature was dropped to avoid data leakage, categorical variables were encoded (one-hot for nominal fields, ordinal for education), and numeric features were standardized.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df['contacted_before'] = (df['pdays'] != 999).astype(int)</w:t>
      </w:r>
      <w:r>
        <w:rPr>
          <w:rFonts w:ascii="Consolas" w:cs="Consolas" w:eastAsia="Consolas" w:hAnsi="Consolas"/>
          <w:sz w:val="18"/>
          <w:szCs w:val="18"/>
        </w:rPr>
        <w:br/>
        <w:t xml:space="preserve">df['pdays_clean'] = df['pdays'].replace(999, 0)</w:t>
      </w:r>
      <w:r>
        <w:rPr>
          <w:rFonts w:ascii="Consolas" w:cs="Consolas" w:eastAsia="Consolas" w:hAnsi="Consolas"/>
          <w:sz w:val="18"/>
          <w:szCs w:val="18"/>
        </w:rPr>
        <w:br/>
        <w:t xml:space="preserve">df_deploy = df.drop(columns=['duration'])</w:t>
      </w:r>
      <w:r>
        <w:rPr>
          <w:rFonts w:ascii="Consolas" w:cs="Consolas" w:eastAsia="Consolas" w:hAnsi="Consolas"/>
          <w:sz w:val="18"/>
          <w:szCs w:val="18"/>
        </w:rPr>
        <w:br/>
        <w:t xml:space="preserve">df_encoded = pd.get_dummies(df_deploy, columns=nominal_cols)</w:t>
      </w:r>
    </w:p>
    <w:p>
      <w:pPr>
        <w:spacing w:after="160"/>
      </w:pPr>
      <w:r>
        <w:rPr>
          <w:b/>
          <w:bCs/>
        </w:rPr>
        <w:t xml:space="preserve">Result: </w:t>
      </w:r>
      <w:r>
        <w:t xml:space="preserve">a final feature matrix of 4,119 records × 50 features, split into a stratified 80/20 train-test set (3,295 training rows, 824 test rows), each preserving the original 89.1% / 10.9% class ratio.</w:t>
      </w:r>
    </w:p>
    <w:p>
      <w:pPr>
        <w:pStyle w:val="Heading2"/>
        <w:spacing w:after="120" w:before="240"/>
      </w:pPr>
      <w:r>
        <w:t xml:space="preserve">2.3 Model Training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from sklearn.linear_model import LogisticRegression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model = LogisticRegression(max_iter=1000, class_weight='balanced', random_state=42)</w:t>
      </w:r>
      <w:r>
        <w:rPr>
          <w:rFonts w:ascii="Consolas" w:cs="Consolas" w:eastAsia="Consolas" w:hAnsi="Consolas"/>
          <w:sz w:val="18"/>
          <w:szCs w:val="18"/>
        </w:rPr>
        <w:br/>
        <w:t xml:space="preserve">model.fit(X_train, y_train)</w:t>
      </w:r>
    </w:p>
    <w:p>
      <w:pPr>
        <w:spacing w:after="160"/>
      </w:pPr>
      <w:r>
        <w:t xml:space="preserve">class_weight='balanced' was used deliberately: without it, the model would be biased toward the majority "no" class given the roughly 89/11 imbalance, and would achieve a deceptively high accuracy while rarely identifying an actual subscriber. random_state=42 is fixed so this run is exactly reproducible and forms a stable reference point for Week 5's tuning experiments.</w:t>
      </w:r>
    </w:p>
    <w:p>
      <w:pPr>
        <w:pStyle w:val="Heading1"/>
        <w:spacing w:after="160" w:before="360"/>
      </w:pPr>
      <w:r>
        <w:t xml:space="preserve">3. Preliminary Results</w:t>
      </w:r>
    </w:p>
    <w:p>
      <w:pPr>
        <w:spacing w:after="160"/>
      </w:pPr>
      <w:r>
        <w:t xml:space="preserve">A full evaluation — including cross-validation and error analysis — is the dedicated focus of Week 4. The check below is a sanity check confirming the model has learned meaningful signal before proceeding.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Accuracy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0.846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Misleading alone — a model predicting "no" for everyone would score ~0.891 while being useless.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Precision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0.372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 clients predicted "yes", ~37% actually subscribed. Reflects the deliberate trade-off from class_weight='balanced'.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Recall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0.600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model correctly catches 60% of clients who genuinely subscribe — far above the ~11% a random guess would catch.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 Score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0.460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Harmonic balance of precision and recall, useful as a single comparison point for Week 5 tuning.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Accuracy alone would be misleading here: a model that always predicts "no" would score roughly 89% while being completely useless to the bank. Recall of 0.600 is the more meaningful number for this baseline — it means the model correctly identifies about 6 in 10 clients who would genuinely subscribe, a substantial improvement over the ~11% a random guess would catch. The precision/recall trade-off visible here, and whether to shift it, is exactly what Weeks 4 and 5 examine in depth.</w:t>
      </w:r>
    </w:p>
    <w:p>
      <w:pPr>
        <w:pStyle w:val="Heading1"/>
        <w:spacing w:after="160" w:before="360"/>
      </w:pPr>
      <w:r>
        <w:t xml:space="preserve">4. Documentation of the Workflow</w:t>
      </w:r>
    </w:p>
    <w:p>
      <w:pPr>
        <w:pStyle w:val="Heading2"/>
        <w:spacing w:after="120" w:before="240"/>
      </w:pPr>
      <w:r>
        <w:t xml:space="preserve">4.1 Code Organization</w:t>
      </w:r>
    </w:p>
    <w:p>
      <w:pPr>
        <w:spacing w:after="160"/>
      </w:pPr>
      <w:r>
        <w:t xml:space="preserve">The notebook follows the exact section order of the Week 2 strategy document — load, clean, encode, scale, split, train — so that every transformation in the code can be traced directly back to the specific finding that motivated it in the planning documents. This traceability is intentional: it means any reviewer (or the author, months later) can follow the reasoning, not just the mechanics.</w:t>
      </w:r>
    </w:p>
    <w:p>
      <w:pPr>
        <w:pStyle w:val="Heading2"/>
        <w:spacing w:after="120" w:before="240"/>
      </w:pPr>
      <w:r>
        <w:t xml:space="preserve">4.2 Experiment Management and Versioning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baseline run (Logistic Regression, class_weight='balanced', random_state=42) is documented as the fixed reference point for all future tuning experiments in Week 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fixed random seed ensures the train-test split is identical across future notebook runs, so any performance change in later weeks can be attributed to the model or its hyperparameters, not to a different random split.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notebook is version-controlled in the project's public GitHub repository alongside the Week 1 and Week 2 documents, preserving a full history of the project's decisions.</w:t>
      </w:r>
    </w:p>
    <w:p>
      <w:pPr>
        <w:pStyle w:val="Heading2"/>
        <w:spacing w:after="120" w:before="240"/>
      </w:pPr>
      <w:r>
        <w:t xml:space="preserve">4.3 Testing and Verifying Functionality</w:t>
      </w:r>
    </w:p>
    <w:p>
      <w:pPr>
        <w:spacing w:after="160"/>
      </w:pPr>
      <w:r>
        <w:t xml:space="preserve">Before submission, the notebook was executed top-to-bottom from a fresh kernel — rather than run cell-by-cell out of order — to confirm every cell runs cleanly with zero errors. This matters because notebooks can silently accumulate hidden state (e.g. a variable defined in a since-deleted cell) that makes a notebook appear to work while actually being broken for a fresh reader; a full top-to-bottom re-run is the standard way to catch that.</w:t>
      </w:r>
    </w:p>
    <w:p>
      <w:pPr>
        <w:pStyle w:val="Heading1"/>
        <w:spacing w:after="160" w:before="360"/>
      </w:pPr>
      <w:r>
        <w:t xml:space="preserve">5. Practical Demonstration</w:t>
      </w:r>
    </w:p>
    <w:p>
      <w:pPr>
        <w:spacing w:after="160"/>
      </w:pPr>
      <w:r>
        <w:t xml:space="preserve">To confirm the trained model behaves sensibly on individual, unseen records (not just in aggregate), five records were sampled from the held-out test set and passed through the model directly.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sample = X_test.iloc[:5]</w:t>
      </w:r>
      <w:r>
        <w:rPr>
          <w:rFonts w:ascii="Consolas" w:cs="Consolas" w:eastAsia="Consolas" w:hAnsi="Consolas"/>
          <w:sz w:val="18"/>
          <w:szCs w:val="18"/>
        </w:rPr>
        <w:br/>
        <w:t xml:space="preserve">sample_pred = model.predict(sample)</w:t>
      </w:r>
      <w:r>
        <w:rPr>
          <w:rFonts w:ascii="Consolas" w:cs="Consolas" w:eastAsia="Consolas" w:hAnsi="Consolas"/>
          <w:sz w:val="18"/>
          <w:szCs w:val="18"/>
        </w:rPr>
        <w:br/>
        <w:t xml:space="preserve">sample_proba = model.predict_proba(sample)[:, 1]</w:t>
      </w:r>
    </w:p>
    <w:p>
      <w:pPr>
        <w:spacing w:after="160"/>
      </w:pPr>
      <w:r>
        <w:t xml:space="preserve">Each prediction was returned alongside its associated probability, allowing a spot-check that the model's confidence levels correspond sensibly to its yes/no predictions, rather than being erratic or degenerate (e.g. always near 0.5).</w:t>
      </w:r>
    </w:p>
    <w:p>
      <w:pPr>
        <w:pStyle w:val="Heading2"/>
        <w:spacing w:after="120" w:before="240"/>
      </w:pPr>
      <w:r>
        <w:t xml:space="preserve">5.1 Error Handling Considerations</w:t>
      </w:r>
    </w:p>
    <w:p>
      <w:pPr>
        <w:spacing w:after="160"/>
      </w:pPr>
      <w:r>
        <w:t xml:space="preserve">In a real deployment, prediction requests could arrive with malformed input — a missing column, or a categorical value not seen during training (such as a new job category introduced after the model was trained). A defensive prediction function was implemented and tested to guard against this: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def safe_predict(record_df, model, expected_columns):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missing = set(expected_columns) - set(record_df.columns)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missing: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raise ValueError(f'Missing expected columns: {missing}')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record_df = record_df[expected_columns]</w:t>
      </w:r>
      <w:r>
        <w:rPr>
          <w:rFonts w:ascii="Consolas" w:cs="Consolas" w:eastAsia="Consolas" w:hAnsi="Consolas"/>
          <w:sz w:val="18"/>
          <w:szCs w:val="18"/>
        </w:rPr>
        <w:br/>
        <w:t xml:space="preserve">    try: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model.predict(record_df), model.predict_proba(record_df)[:, 1]</w:t>
      </w:r>
      <w:r>
        <w:rPr>
          <w:rFonts w:ascii="Consolas" w:cs="Consolas" w:eastAsia="Consolas" w:hAnsi="Consolas"/>
          <w:sz w:val="18"/>
          <w:szCs w:val="18"/>
        </w:rPr>
        <w:br/>
        <w:t xml:space="preserve">    except Exception as 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raise RuntimeError(f'Prediction failed: {e}')</w:t>
      </w:r>
    </w:p>
    <w:p>
      <w:pPr>
        <w:spacing w:after="160"/>
      </w:pPr>
      <w:r>
        <w:t xml:space="preserve">This raises a clear, specific error rather than failing silently or crashing with an unhelpful stack trace — a small addition, but one that reflects thinking about the model as a component in a larger system, not just a standalone script.</w:t>
      </w:r>
    </w:p>
    <w:p>
      <w:pPr>
        <w:pStyle w:val="Heading1"/>
        <w:spacing w:after="160" w:before="360"/>
      </w:pPr>
      <w:r>
        <w:t xml:space="preserve">6. Summary</w:t>
      </w:r>
    </w:p>
    <w:p>
      <w:pPr>
        <w:spacing w:after="160"/>
      </w:pPr>
      <w:r>
        <w:t xml:space="preserve">Week 3 translates the Week 1–2 planning into a working, version-controlled implementation: a Logistic Regression baseline trained on properly preprocessed data, achieving a recall of 0.600 on held-out test data despite significant class imbalance. The model, its assumptions, and its known limitations (linearity assumption, precision/recall trade-off) are documented here to carry forward into the deeper evaluation and optimization work in Weeks 4 and 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2026-09-09T11:03:47.010Z</dcterms:created>
  <dcterms:modified xsi:type="dcterms:W3CDTF">2026-09-09T11:03:47.020Z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