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Project Planning and Strategy for ML Pipeline</w:t>
      </w:r>
    </w:p>
    <w:p>
      <w:pPr>
        <w:spacing w:after="60"/>
        <w:jc w:val="center"/>
      </w:pPr>
      <w:r>
        <w:rPr>
          <w:i/>
          <w:iCs/>
          <w:sz w:val="24"/>
          <w:szCs w:val="24"/>
        </w:rPr>
        <w:t xml:space="preserve">Predicting Term Deposit Subscription — Bank Marketing Dataset</w:t>
      </w:r>
    </w:p>
    <w:p>
      <w:pPr>
        <w:spacing w:after="60"/>
        <w:jc w:val="center"/>
      </w:pPr>
      <w:r>
        <w:rPr>
          <w:sz w:val="22"/>
          <w:szCs w:val="22"/>
        </w:rPr>
        <w:t xml:space="preserve">Machine Learning Engineer Internship — Week 1 Deliverable</w:t>
      </w:r>
    </w:p>
    <w:p>
      <w:pPr>
        <w:spacing w:after="600"/>
        <w:jc w:val="center"/>
      </w:pPr>
      <w:r>
        <w:rPr>
          <w:sz w:val="22"/>
          <w:szCs w:val="22"/>
        </w:rPr>
        <w:t xml:space="preserve">Prepared by: Aswathi</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w:t>
      </w:r>
    </w:p>
    <w:p>
      <w:pPr>
        <w:spacing w:after="160"/>
      </w:pPr>
      <w:r>
        <w:t xml:space="preserve">This document outlines the project plan for an end-to-end machine learning pipeline built as part of the Machine Learning Engineer internship. The project uses the Bank Marketing dataset from the UCI Machine Learning Repository, which contains data from direct telemarketing campaigns run by a Portuguese banking institution. Each record represents a phone contact made to a client, along with demographic, financial, and campaign-related attributes, and whether the client ultimately subscribed to a term deposit.</w:t>
      </w:r>
    </w:p>
    <w:p>
      <w:pPr>
        <w:spacing w:after="160"/>
      </w:pPr>
      <w:r>
        <w:t xml:space="preserve">The plan below covers the full lifecycle of the project — from problem definition through to model optimization — and is structured to align with the six-week internship schedule, where each week produces a focused deliverable that builds on the last.</w:t>
      </w:r>
    </w:p>
    <w:p>
      <w:pPr>
        <w:pStyle w:val="Heading1"/>
        <w:spacing w:after="160" w:before="360"/>
      </w:pPr>
      <w:r>
        <w:t xml:space="preserve">2. Problem Statement</w:t>
      </w:r>
    </w:p>
    <w:p>
      <w:pPr>
        <w:spacing w:after="160"/>
      </w:pPr>
      <w:r>
        <w:rPr>
          <w:b/>
          <w:bCs/>
        </w:rPr>
        <w:t xml:space="preserve">Problem: </w:t>
      </w:r>
      <w:r>
        <w:t xml:space="preserve">Predict whether a bank client will subscribe to a term deposit, based on information available to the bank before or during a marketing contact.</w:t>
      </w:r>
    </w:p>
    <w:p>
      <w:pPr>
        <w:spacing w:after="160"/>
      </w:pPr>
      <w:r>
        <w:rPr>
          <w:b/>
          <w:bCs/>
        </w:rPr>
        <w:t xml:space="preserve">Inputs: </w:t>
      </w:r>
      <w:r>
        <w:t xml:space="preserve">Client attributes (age, job, marital status, education, existing loans), campaign attributes (contact type, month, number of contacts), and prior campaign outcome (if any).</w:t>
      </w:r>
    </w:p>
    <w:p>
      <w:pPr>
        <w:spacing w:after="160"/>
      </w:pPr>
      <w:r>
        <w:rPr>
          <w:b/>
          <w:bCs/>
        </w:rPr>
        <w:t xml:space="preserve">Type of problem: </w:t>
      </w:r>
      <w:r>
        <w:t xml:space="preserve">Binary classification — the target variable indicates subscription (“yes”) or no subscription (“no”).</w:t>
      </w:r>
    </w:p>
    <w:p>
      <w:pPr>
        <w:pStyle w:val="Heading2"/>
        <w:spacing w:after="120" w:before="240"/>
      </w:pPr>
      <w:r>
        <w:t xml:space="preserve">Key Challenges</w:t>
      </w:r>
    </w:p>
    <w:p>
      <w:pPr>
        <w:pStyle w:val="ListParagraph"/>
        <w:numPr>
          <w:ilvl w:val="0"/>
          <w:numId w:val="2"/>
        </w:numPr>
        <w:spacing w:after="80"/>
      </w:pPr>
      <w:r>
        <w:t xml:space="preserve">Significant class imbalance — most clients do not subscribe, so a model must be evaluated on more than raw accuracy.</w:t>
      </w:r>
    </w:p>
    <w:p>
      <w:pPr>
        <w:pStyle w:val="ListParagraph"/>
        <w:numPr>
          <w:ilvl w:val="0"/>
          <w:numId w:val="2"/>
        </w:numPr>
        <w:spacing w:after="80"/>
      </w:pPr>
      <w:r>
        <w:t xml:space="preserve">Mixed data types requiring different preprocessing (categorical encoding vs. numerical scaling).</w:t>
      </w:r>
    </w:p>
    <w:p>
      <w:pPr>
        <w:pStyle w:val="ListParagraph"/>
        <w:numPr>
          <w:ilvl w:val="0"/>
          <w:numId w:val="2"/>
        </w:numPr>
        <w:spacing w:after="80"/>
      </w:pPr>
      <w:r>
        <w:t xml:space="preserve">A potential data leakage risk in the 'duration' feature (call length), which is only known after a call takes place and would not be available at genuine prediction time.</w:t>
      </w:r>
    </w:p>
    <w:p>
      <w:pPr>
        <w:pStyle w:val="ListParagraph"/>
        <w:numPr>
          <w:ilvl w:val="0"/>
          <w:numId w:val="2"/>
        </w:numPr>
        <w:spacing w:after="80"/>
      </w:pPr>
      <w:r>
        <w:t xml:space="preserve">Balancing model interpretability (useful for a bank deciding who to call) against predictive performance.</w:t>
      </w:r>
    </w:p>
    <w:p>
      <w:pPr>
        <w:pStyle w:val="Heading2"/>
        <w:spacing w:after="120" w:before="240"/>
      </w:pPr>
      <w:r>
        <w:t xml:space="preserve">Expected Outcome</w:t>
      </w:r>
    </w:p>
    <w:p>
      <w:pPr>
        <w:spacing w:after="160"/>
      </w:pPr>
      <w:r>
        <w:t xml:space="preserve">A trained, evaluated, and documented classification model — along with a clear account of the preprocessing, evaluation, and tuning decisions behind it — that could realistically help a bank prioritize which clients to contact for future campaigns.</w:t>
      </w:r>
    </w:p>
    <w:p>
      <w:pPr>
        <w:pStyle w:val="Heading1"/>
        <w:spacing w:after="160" w:before="360"/>
      </w:pPr>
      <w:r>
        <w:t xml:space="preserve">3. Objectives</w:t>
      </w:r>
    </w:p>
    <w:p>
      <w:pPr>
        <w:pStyle w:val="Heading2"/>
        <w:spacing w:after="120" w:before="240"/>
      </w:pPr>
      <w:r>
        <w:t xml:space="preserve">Primary Objective</w:t>
      </w:r>
    </w:p>
    <w:p>
      <w:pPr>
        <w:spacing w:after="160"/>
      </w:pPr>
      <w:r>
        <w:t xml:space="preserve">Build and evaluate a machine learning model that predicts term deposit subscription with a defensible, well-reasoned methodology at every stage.</w:t>
      </w:r>
    </w:p>
    <w:p>
      <w:pPr>
        <w:pStyle w:val="Heading2"/>
        <w:spacing w:after="120" w:before="240"/>
      </w:pPr>
      <w:r>
        <w:t xml:space="preserve">Secondary Objectives</w:t>
      </w:r>
    </w:p>
    <w:p>
      <w:pPr>
        <w:pStyle w:val="ListParagraph"/>
        <w:numPr>
          <w:ilvl w:val="0"/>
          <w:numId w:val="2"/>
        </w:numPr>
        <w:spacing w:after="80"/>
      </w:pPr>
      <w:r>
        <w:t xml:space="preserve">Develop a clear, justified data preprocessing and feature engineering strategy.</w:t>
      </w:r>
    </w:p>
    <w:p>
      <w:pPr>
        <w:pStyle w:val="ListParagraph"/>
        <w:numPr>
          <w:ilvl w:val="0"/>
          <w:numId w:val="2"/>
        </w:numPr>
        <w:spacing w:after="80"/>
      </w:pPr>
      <w:r>
        <w:t xml:space="preserve">Compare model evaluation metrics appropriate for an imbalanced classification problem.</w:t>
      </w:r>
    </w:p>
    <w:p>
      <w:pPr>
        <w:pStyle w:val="ListParagraph"/>
        <w:numPr>
          <w:ilvl w:val="0"/>
          <w:numId w:val="2"/>
        </w:numPr>
        <w:spacing w:after="80"/>
      </w:pPr>
      <w:r>
        <w:t xml:space="preserve">Apply and document proper validation technique (e.g. stratified k-fold cross-validation).</w:t>
      </w:r>
    </w:p>
    <w:p>
      <w:pPr>
        <w:pStyle w:val="ListParagraph"/>
        <w:numPr>
          <w:ilvl w:val="0"/>
          <w:numId w:val="2"/>
        </w:numPr>
        <w:spacing w:after="80"/>
      </w:pPr>
      <w:r>
        <w:t xml:space="preserve">Explore hyperparameter tuning to improve model performance without overfitting.</w:t>
      </w:r>
    </w:p>
    <w:p>
      <w:pPr>
        <w:pStyle w:val="ListParagraph"/>
        <w:numPr>
          <w:ilvl w:val="0"/>
          <w:numId w:val="2"/>
        </w:numPr>
        <w:spacing w:after="80"/>
      </w:pPr>
      <w:r>
        <w:t xml:space="preserve">Produce documentation and code clear enough to explain confidently in a technical interview.</w:t>
      </w:r>
    </w:p>
    <w:p>
      <w:pPr>
        <w:pStyle w:val="Heading1"/>
        <w:spacing w:after="160" w:before="360"/>
      </w:pPr>
      <w:r>
        <w:t xml:space="preserve">4. Timeline and Milestones</w:t>
      </w:r>
    </w:p>
    <w:p>
      <w:pPr>
        <w:spacing w:after="160"/>
      </w:pPr>
      <w:r>
        <w:t xml:space="preserve">The project is scoped for a realistic pace of a few focused hours per week, prioritizing depth of understanding on core concepts over exhaustive coverage.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500"/>
      </w:tblGrid>
      <w:tr>
        <w:trPr>
          <w:tblHeader/>
        </w:trPr>
        <w:tc>
          <w:tcPr>
            <w:tcW w:type="dxa" w:w="1400"/>
            <w:shd w:fill="1F3864" w:val="clear"/>
            <w:tcMar>
              <w:top w:type="dxa" w:w="100"/>
              <w:left w:type="dxa" w:w="120"/>
              <w:bottom w:type="dxa" w:w="100"/>
              <w:right w:type="dxa" w:w="120"/>
            </w:tcMar>
          </w:tcPr>
          <w:p>
            <w:r>
              <w:rPr>
                <w:b/>
                <w:bCs/>
                <w:color w:val="FFFFFF"/>
                <w:sz w:val="20"/>
                <w:szCs w:val="20"/>
              </w:rPr>
              <w:t xml:space="preserve">Week</w:t>
            </w:r>
          </w:p>
        </w:tc>
        <w:tc>
          <w:tcPr>
            <w:tcW w:type="dxa" w:w="3600"/>
            <w:shd w:fill="1F3864" w:val="clear"/>
            <w:tcMar>
              <w:top w:type="dxa" w:w="100"/>
              <w:left w:type="dxa" w:w="120"/>
              <w:bottom w:type="dxa" w:w="100"/>
              <w:right w:type="dxa" w:w="120"/>
            </w:tcMar>
          </w:tcPr>
          <w:p>
            <w:r>
              <w:rPr>
                <w:b/>
                <w:bCs/>
                <w:color w:val="FFFFFF"/>
                <w:sz w:val="20"/>
                <w:szCs w:val="20"/>
              </w:rPr>
              <w:t xml:space="preserve">Milestone</w:t>
            </w:r>
          </w:p>
        </w:tc>
        <w:tc>
          <w:tcPr>
            <w:tcW w:type="dxa" w:w="4500"/>
            <w:shd w:fill="1F3864" w:val="clear"/>
            <w:tcMar>
              <w:top w:type="dxa" w:w="100"/>
              <w:left w:type="dxa" w:w="120"/>
              <w:bottom w:type="dxa" w:w="100"/>
              <w:right w:type="dxa" w:w="120"/>
            </w:tcMar>
          </w:tcPr>
          <w:p>
            <w:r>
              <w:rPr>
                <w:b/>
                <w:bCs/>
                <w:color w:val="FFFFFF"/>
                <w:sz w:val="20"/>
                <w:szCs w:val="20"/>
              </w:rPr>
              <w:t xml:space="preserve">Focus</w:t>
            </w:r>
          </w:p>
        </w:tc>
      </w:tr>
      <w:tr>
        <w:tc>
          <w:tcPr>
            <w:tcW w:type="dxa" w:w="1400"/>
            <w:tcMar>
              <w:top w:type="dxa" w:w="100"/>
              <w:left w:type="dxa" w:w="120"/>
              <w:bottom w:type="dxa" w:w="100"/>
              <w:right w:type="dxa" w:w="120"/>
            </w:tcMar>
          </w:tcPr>
          <w:p>
            <w:r>
              <w:rPr>
                <w:b w:val="false"/>
                <w:bCs w:val="false"/>
                <w:sz w:val="20"/>
                <w:szCs w:val="20"/>
              </w:rPr>
              <w:t xml:space="preserve">Week 1</w:t>
            </w:r>
          </w:p>
        </w:tc>
        <w:tc>
          <w:tcPr>
            <w:tcW w:type="dxa" w:w="3600"/>
            <w:tcMar>
              <w:top w:type="dxa" w:w="100"/>
              <w:left w:type="dxa" w:w="120"/>
              <w:bottom w:type="dxa" w:w="100"/>
              <w:right w:type="dxa" w:w="120"/>
            </w:tcMar>
          </w:tcPr>
          <w:p>
            <w:r>
              <w:rPr>
                <w:b w:val="false"/>
                <w:bCs w:val="false"/>
                <w:sz w:val="20"/>
                <w:szCs w:val="20"/>
              </w:rPr>
              <w:t xml:space="preserve">Project Planning &amp; Strategy</w:t>
            </w:r>
          </w:p>
        </w:tc>
        <w:tc>
          <w:tcPr>
            <w:tcW w:type="dxa" w:w="4500"/>
            <w:tcMar>
              <w:top w:type="dxa" w:w="100"/>
              <w:left w:type="dxa" w:w="120"/>
              <w:bottom w:type="dxa" w:w="100"/>
              <w:right w:type="dxa" w:w="120"/>
            </w:tcMar>
          </w:tcPr>
          <w:p>
            <w:r>
              <w:rPr>
                <w:b w:val="false"/>
                <w:bCs w:val="false"/>
                <w:sz w:val="20"/>
                <w:szCs w:val="20"/>
              </w:rPr>
              <w:t xml:space="preserve">Define problem, objectives, timeline, risks, and roadmap for the ML pipeline.</w:t>
            </w:r>
          </w:p>
        </w:tc>
      </w:tr>
      <w:tr>
        <w:tc>
          <w:tcPr>
            <w:tcW w:type="dxa" w:w="1400"/>
            <w:tcMar>
              <w:top w:type="dxa" w:w="100"/>
              <w:left w:type="dxa" w:w="120"/>
              <w:bottom w:type="dxa" w:w="100"/>
              <w:right w:type="dxa" w:w="120"/>
            </w:tcMar>
          </w:tcPr>
          <w:p>
            <w:r>
              <w:rPr>
                <w:b w:val="false"/>
                <w:bCs w:val="false"/>
                <w:sz w:val="20"/>
                <w:szCs w:val="20"/>
              </w:rPr>
              <w:t xml:space="preserve">Week 2</w:t>
            </w:r>
          </w:p>
        </w:tc>
        <w:tc>
          <w:tcPr>
            <w:tcW w:type="dxa" w:w="3600"/>
            <w:tcMar>
              <w:top w:type="dxa" w:w="100"/>
              <w:left w:type="dxa" w:w="120"/>
              <w:bottom w:type="dxa" w:w="100"/>
              <w:right w:type="dxa" w:w="120"/>
            </w:tcMar>
          </w:tcPr>
          <w:p>
            <w:r>
              <w:rPr>
                <w:b w:val="false"/>
                <w:bCs w:val="false"/>
                <w:sz w:val="20"/>
                <w:szCs w:val="20"/>
              </w:rPr>
              <w:t xml:space="preserve">Data Preprocessing &amp; Feature Engineering Strategy</w:t>
            </w:r>
          </w:p>
        </w:tc>
        <w:tc>
          <w:tcPr>
            <w:tcW w:type="dxa" w:w="4500"/>
            <w:tcMar>
              <w:top w:type="dxa" w:w="100"/>
              <w:left w:type="dxa" w:w="120"/>
              <w:bottom w:type="dxa" w:w="100"/>
              <w:right w:type="dxa" w:w="120"/>
            </w:tcMar>
          </w:tcPr>
          <w:p>
            <w:r>
              <w:rPr>
                <w:b w:val="false"/>
                <w:bCs w:val="false"/>
                <w:sz w:val="20"/>
                <w:szCs w:val="20"/>
              </w:rPr>
              <w:t xml:space="preserve">Plan data cleaning, encoding, scaling, and feature engineering approach for the Bank Marketing dataset.</w:t>
            </w:r>
          </w:p>
        </w:tc>
      </w:tr>
      <w:tr>
        <w:tc>
          <w:tcPr>
            <w:tcW w:type="dxa" w:w="1400"/>
            <w:tcMar>
              <w:top w:type="dxa" w:w="100"/>
              <w:left w:type="dxa" w:w="120"/>
              <w:bottom w:type="dxa" w:w="100"/>
              <w:right w:type="dxa" w:w="120"/>
            </w:tcMar>
          </w:tcPr>
          <w:p>
            <w:r>
              <w:rPr>
                <w:b w:val="false"/>
                <w:bCs w:val="false"/>
                <w:sz w:val="20"/>
                <w:szCs w:val="20"/>
              </w:rPr>
              <w:t xml:space="preserve">Week 3</w:t>
            </w:r>
          </w:p>
        </w:tc>
        <w:tc>
          <w:tcPr>
            <w:tcW w:type="dxa" w:w="3600"/>
            <w:tcMar>
              <w:top w:type="dxa" w:w="100"/>
              <w:left w:type="dxa" w:w="120"/>
              <w:bottom w:type="dxa" w:w="100"/>
              <w:right w:type="dxa" w:w="120"/>
            </w:tcMar>
          </w:tcPr>
          <w:p>
            <w:r>
              <w:rPr>
                <w:b w:val="false"/>
                <w:bCs w:val="false"/>
                <w:sz w:val="20"/>
                <w:szCs w:val="20"/>
              </w:rPr>
              <w:t xml:space="preserve">Model Implementation &amp; Code Documentation</w:t>
            </w:r>
          </w:p>
        </w:tc>
        <w:tc>
          <w:tcPr>
            <w:tcW w:type="dxa" w:w="4500"/>
            <w:tcMar>
              <w:top w:type="dxa" w:w="100"/>
              <w:left w:type="dxa" w:w="120"/>
              <w:bottom w:type="dxa" w:w="100"/>
              <w:right w:type="dxa" w:w="120"/>
            </w:tcMar>
          </w:tcPr>
          <w:p>
            <w:r>
              <w:rPr>
                <w:b w:val="false"/>
                <w:bCs w:val="false"/>
                <w:sz w:val="20"/>
                <w:szCs w:val="20"/>
              </w:rPr>
              <w:t xml:space="preserve">Implement a baseline classification model with fully documented, self-explanatory code.</w:t>
            </w:r>
          </w:p>
        </w:tc>
      </w:tr>
      <w:tr>
        <w:tc>
          <w:tcPr>
            <w:tcW w:type="dxa" w:w="1400"/>
            <w:tcMar>
              <w:top w:type="dxa" w:w="100"/>
              <w:left w:type="dxa" w:w="120"/>
              <w:bottom w:type="dxa" w:w="100"/>
              <w:right w:type="dxa" w:w="120"/>
            </w:tcMar>
          </w:tcPr>
          <w:p>
            <w:r>
              <w:rPr>
                <w:b w:val="false"/>
                <w:bCs w:val="false"/>
                <w:sz w:val="20"/>
                <w:szCs w:val="20"/>
              </w:rPr>
              <w:t xml:space="preserve">Week 4</w:t>
            </w:r>
          </w:p>
        </w:tc>
        <w:tc>
          <w:tcPr>
            <w:tcW w:type="dxa" w:w="3600"/>
            <w:tcMar>
              <w:top w:type="dxa" w:w="100"/>
              <w:left w:type="dxa" w:w="120"/>
              <w:bottom w:type="dxa" w:w="100"/>
              <w:right w:type="dxa" w:w="120"/>
            </w:tcMar>
          </w:tcPr>
          <w:p>
            <w:r>
              <w:rPr>
                <w:b w:val="false"/>
                <w:bCs w:val="false"/>
                <w:sz w:val="20"/>
                <w:szCs w:val="20"/>
              </w:rPr>
              <w:t xml:space="preserve">Model Evaluation &amp; Validation</w:t>
            </w:r>
          </w:p>
        </w:tc>
        <w:tc>
          <w:tcPr>
            <w:tcW w:type="dxa" w:w="4500"/>
            <w:tcMar>
              <w:top w:type="dxa" w:w="100"/>
              <w:left w:type="dxa" w:w="120"/>
              <w:bottom w:type="dxa" w:w="100"/>
              <w:right w:type="dxa" w:w="120"/>
            </w:tcMar>
          </w:tcPr>
          <w:p>
            <w:r>
              <w:rPr>
                <w:b w:val="false"/>
                <w:bCs w:val="false"/>
                <w:sz w:val="20"/>
                <w:szCs w:val="20"/>
              </w:rPr>
              <w:t xml:space="preserve">Evaluate model using appropriate metrics; apply cross-validation; analyze errors.</w:t>
            </w:r>
          </w:p>
        </w:tc>
      </w:tr>
      <w:tr>
        <w:tc>
          <w:tcPr>
            <w:tcW w:type="dxa" w:w="1400"/>
            <w:tcMar>
              <w:top w:type="dxa" w:w="100"/>
              <w:left w:type="dxa" w:w="120"/>
              <w:bottom w:type="dxa" w:w="100"/>
              <w:right w:type="dxa" w:w="120"/>
            </w:tcMar>
          </w:tcPr>
          <w:p>
            <w:r>
              <w:rPr>
                <w:b w:val="false"/>
                <w:bCs w:val="false"/>
                <w:sz w:val="20"/>
                <w:szCs w:val="20"/>
              </w:rPr>
              <w:t xml:space="preserve">Week 5</w:t>
            </w:r>
          </w:p>
        </w:tc>
        <w:tc>
          <w:tcPr>
            <w:tcW w:type="dxa" w:w="3600"/>
            <w:tcMar>
              <w:top w:type="dxa" w:w="100"/>
              <w:left w:type="dxa" w:w="120"/>
              <w:bottom w:type="dxa" w:w="100"/>
              <w:right w:type="dxa" w:w="120"/>
            </w:tcMar>
          </w:tcPr>
          <w:p>
            <w:r>
              <w:rPr>
                <w:b w:val="false"/>
                <w:bCs w:val="false"/>
                <w:sz w:val="20"/>
                <w:szCs w:val="20"/>
              </w:rPr>
              <w:t xml:space="preserve">Model Optimization &amp; Experimentation</w:t>
            </w:r>
          </w:p>
        </w:tc>
        <w:tc>
          <w:tcPr>
            <w:tcW w:type="dxa" w:w="4500"/>
            <w:tcMar>
              <w:top w:type="dxa" w:w="100"/>
              <w:left w:type="dxa" w:w="120"/>
              <w:bottom w:type="dxa" w:w="100"/>
              <w:right w:type="dxa" w:w="120"/>
            </w:tcMar>
          </w:tcPr>
          <w:p>
            <w:r>
              <w:rPr>
                <w:b w:val="false"/>
                <w:bCs w:val="false"/>
                <w:sz w:val="20"/>
                <w:szCs w:val="20"/>
              </w:rPr>
              <w:t xml:space="preserve">Tune hyperparameters via grid/random search; document experiments and outcomes.</w:t>
            </w:r>
          </w:p>
        </w:tc>
      </w:tr>
      <w:tr>
        <w:tc>
          <w:tcPr>
            <w:tcW w:type="dxa" w:w="1400"/>
            <w:tcMar>
              <w:top w:type="dxa" w:w="100"/>
              <w:left w:type="dxa" w:w="120"/>
              <w:bottom w:type="dxa" w:w="100"/>
              <w:right w:type="dxa" w:w="120"/>
            </w:tcMar>
          </w:tcPr>
          <w:p>
            <w:r>
              <w:rPr>
                <w:b w:val="false"/>
                <w:bCs w:val="false"/>
                <w:sz w:val="20"/>
                <w:szCs w:val="20"/>
              </w:rPr>
              <w:t xml:space="preserve">Week 6</w:t>
            </w:r>
          </w:p>
        </w:tc>
        <w:tc>
          <w:tcPr>
            <w:tcW w:type="dxa" w:w="3600"/>
            <w:tcMar>
              <w:top w:type="dxa" w:w="100"/>
              <w:left w:type="dxa" w:w="120"/>
              <w:bottom w:type="dxa" w:w="100"/>
              <w:right w:type="dxa" w:w="120"/>
            </w:tcMar>
          </w:tcPr>
          <w:p>
            <w:r>
              <w:rPr>
                <w:b w:val="false"/>
                <w:bCs w:val="false"/>
                <w:sz w:val="20"/>
                <w:szCs w:val="20"/>
              </w:rPr>
              <w:t xml:space="preserve">Final Report &amp; Comprehensive Analysis</w:t>
            </w:r>
          </w:p>
        </w:tc>
        <w:tc>
          <w:tcPr>
            <w:tcW w:type="dxa" w:w="4500"/>
            <w:tcMar>
              <w:top w:type="dxa" w:w="100"/>
              <w:left w:type="dxa" w:w="120"/>
              <w:bottom w:type="dxa" w:w="100"/>
              <w:right w:type="dxa" w:w="120"/>
            </w:tcMar>
          </w:tcPr>
          <w:p>
            <w:r>
              <w:rPr>
                <w:b w:val="false"/>
                <w:bCs w:val="false"/>
                <w:sz w:val="20"/>
                <w:szCs w:val="20"/>
              </w:rPr>
              <w:t xml:space="preserve">Consolidate all prior weeks into one end-to-end project report.</w:t>
            </w:r>
          </w:p>
        </w:tc>
      </w:tr>
    </w:tbl>
    <w:p>
      <w:pPr>
        <w:spacing w:after="200"/>
      </w:pPr>
    </w:p>
    <w:p>
      <w:pPr>
        <w:pStyle w:val="Heading1"/>
        <w:spacing w:after="160" w:before="360"/>
      </w:pPr>
      <w:r>
        <w:t xml:space="preserve">5. Resource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Category</w:t>
            </w:r>
          </w:p>
        </w:tc>
        <w:tc>
          <w:tcPr>
            <w:tcW w:type="dxa" w:w="6500"/>
            <w:shd w:fill="1F3864" w:val="clear"/>
            <w:tcMar>
              <w:top w:type="dxa" w:w="100"/>
              <w:left w:type="dxa" w:w="120"/>
              <w:bottom w:type="dxa" w:w="100"/>
              <w:right w:type="dxa" w:w="120"/>
            </w:tcMar>
          </w:tcPr>
          <w:p>
            <w:r>
              <w:rPr>
                <w:b/>
                <w:bCs/>
                <w:color w:val="FFFFFF"/>
                <w:sz w:val="20"/>
                <w:szCs w:val="20"/>
              </w:rPr>
              <w:t xml:space="preserve">Details</w:t>
            </w:r>
          </w:p>
        </w:tc>
      </w:tr>
      <w:tr>
        <w:tc>
          <w:tcPr>
            <w:tcW w:type="dxa" w:w="3000"/>
            <w:tcMar>
              <w:top w:type="dxa" w:w="100"/>
              <w:left w:type="dxa" w:w="120"/>
              <w:bottom w:type="dxa" w:w="100"/>
              <w:right w:type="dxa" w:w="120"/>
            </w:tcMar>
          </w:tcPr>
          <w:p>
            <w:r>
              <w:rPr>
                <w:b w:val="false"/>
                <w:bCs w:val="false"/>
                <w:sz w:val="20"/>
                <w:szCs w:val="20"/>
              </w:rPr>
              <w:t xml:space="preserve">Language / Environment</w:t>
            </w:r>
          </w:p>
        </w:tc>
        <w:tc>
          <w:tcPr>
            <w:tcW w:type="dxa" w:w="6500"/>
            <w:tcMar>
              <w:top w:type="dxa" w:w="100"/>
              <w:left w:type="dxa" w:w="120"/>
              <w:bottom w:type="dxa" w:w="100"/>
              <w:right w:type="dxa" w:w="120"/>
            </w:tcMar>
          </w:tcPr>
          <w:p>
            <w:r>
              <w:rPr>
                <w:b w:val="false"/>
                <w:bCs w:val="false"/>
                <w:sz w:val="20"/>
                <w:szCs w:val="20"/>
              </w:rPr>
              <w:t xml:space="preserve">Python 3.x, Jupyter Notebook</w:t>
            </w:r>
          </w:p>
        </w:tc>
      </w:tr>
      <w:tr>
        <w:tc>
          <w:tcPr>
            <w:tcW w:type="dxa" w:w="3000"/>
            <w:tcMar>
              <w:top w:type="dxa" w:w="100"/>
              <w:left w:type="dxa" w:w="120"/>
              <w:bottom w:type="dxa" w:w="100"/>
              <w:right w:type="dxa" w:w="120"/>
            </w:tcMar>
          </w:tcPr>
          <w:p>
            <w:r>
              <w:rPr>
                <w:b w:val="false"/>
                <w:bCs w:val="false"/>
                <w:sz w:val="20"/>
                <w:szCs w:val="20"/>
              </w:rPr>
              <w:t xml:space="preserve">Core Libraries</w:t>
            </w:r>
          </w:p>
        </w:tc>
        <w:tc>
          <w:tcPr>
            <w:tcW w:type="dxa" w:w="6500"/>
            <w:tcMar>
              <w:top w:type="dxa" w:w="100"/>
              <w:left w:type="dxa" w:w="120"/>
              <w:bottom w:type="dxa" w:w="100"/>
              <w:right w:type="dxa" w:w="120"/>
            </w:tcMar>
          </w:tcPr>
          <w:p>
            <w:r>
              <w:rPr>
                <w:b w:val="false"/>
                <w:bCs w:val="false"/>
                <w:sz w:val="20"/>
                <w:szCs w:val="20"/>
              </w:rPr>
              <w:t xml:space="preserve">pandas, NumPy (data handling), Matplotlib, Seaborn (visualization)</w:t>
            </w:r>
          </w:p>
        </w:tc>
      </w:tr>
      <w:tr>
        <w:tc>
          <w:tcPr>
            <w:tcW w:type="dxa" w:w="3000"/>
            <w:tcMar>
              <w:top w:type="dxa" w:w="100"/>
              <w:left w:type="dxa" w:w="120"/>
              <w:bottom w:type="dxa" w:w="100"/>
              <w:right w:type="dxa" w:w="120"/>
            </w:tcMar>
          </w:tcPr>
          <w:p>
            <w:r>
              <w:rPr>
                <w:b w:val="false"/>
                <w:bCs w:val="false"/>
                <w:sz w:val="20"/>
                <w:szCs w:val="20"/>
              </w:rPr>
              <w:t xml:space="preserve">Modeling Libraries</w:t>
            </w:r>
          </w:p>
        </w:tc>
        <w:tc>
          <w:tcPr>
            <w:tcW w:type="dxa" w:w="6500"/>
            <w:tcMar>
              <w:top w:type="dxa" w:w="100"/>
              <w:left w:type="dxa" w:w="120"/>
              <w:bottom w:type="dxa" w:w="100"/>
              <w:right w:type="dxa" w:w="120"/>
            </w:tcMar>
          </w:tcPr>
          <w:p>
            <w:r>
              <w:rPr>
                <w:b w:val="false"/>
                <w:bCs w:val="false"/>
                <w:sz w:val="20"/>
                <w:szCs w:val="20"/>
              </w:rPr>
              <w:t xml:space="preserve">scikit-learn (preprocessing, model implementation, evaluation, hyperparameter tuning)</w:t>
            </w:r>
          </w:p>
        </w:tc>
      </w:tr>
      <w:tr>
        <w:tc>
          <w:tcPr>
            <w:tcW w:type="dxa" w:w="3000"/>
            <w:tcMar>
              <w:top w:type="dxa" w:w="100"/>
              <w:left w:type="dxa" w:w="120"/>
              <w:bottom w:type="dxa" w:w="100"/>
              <w:right w:type="dxa" w:w="120"/>
            </w:tcMar>
          </w:tcPr>
          <w:p>
            <w:r>
              <w:rPr>
                <w:b w:val="false"/>
                <w:bCs w:val="false"/>
                <w:sz w:val="20"/>
                <w:szCs w:val="20"/>
              </w:rPr>
              <w:t xml:space="preserve">Dataset</w:t>
            </w:r>
          </w:p>
        </w:tc>
        <w:tc>
          <w:tcPr>
            <w:tcW w:type="dxa" w:w="6500"/>
            <w:tcMar>
              <w:top w:type="dxa" w:w="100"/>
              <w:left w:type="dxa" w:w="120"/>
              <w:bottom w:type="dxa" w:w="100"/>
              <w:right w:type="dxa" w:w="120"/>
            </w:tcMar>
          </w:tcPr>
          <w:p>
            <w:r>
              <w:rPr>
                <w:b w:val="false"/>
                <w:bCs w:val="false"/>
                <w:sz w:val="20"/>
                <w:szCs w:val="20"/>
              </w:rPr>
              <w:t xml:space="preserve">UCI Machine Learning Repository — Bank Marketing Dataset (Moro et al.)</w:t>
            </w:r>
          </w:p>
        </w:tc>
      </w:tr>
      <w:tr>
        <w:tc>
          <w:tcPr>
            <w:tcW w:type="dxa" w:w="3000"/>
            <w:tcMar>
              <w:top w:type="dxa" w:w="100"/>
              <w:left w:type="dxa" w:w="120"/>
              <w:bottom w:type="dxa" w:w="100"/>
              <w:right w:type="dxa" w:w="120"/>
            </w:tcMar>
          </w:tcPr>
          <w:p>
            <w:r>
              <w:rPr>
                <w:b w:val="false"/>
                <w:bCs w:val="false"/>
                <w:sz w:val="20"/>
                <w:szCs w:val="20"/>
              </w:rPr>
              <w:t xml:space="preserve">Version Control</w:t>
            </w:r>
          </w:p>
        </w:tc>
        <w:tc>
          <w:tcPr>
            <w:tcW w:type="dxa" w:w="6500"/>
            <w:tcMar>
              <w:top w:type="dxa" w:w="100"/>
              <w:left w:type="dxa" w:w="120"/>
              <w:bottom w:type="dxa" w:w="100"/>
              <w:right w:type="dxa" w:w="120"/>
            </w:tcMar>
          </w:tcPr>
          <w:p>
            <w:r>
              <w:rPr>
                <w:b w:val="false"/>
                <w:bCs w:val="false"/>
                <w:sz w:val="20"/>
                <w:szCs w:val="20"/>
              </w:rPr>
              <w:t xml:space="preserve">Git and GitHub (public repository, weekly commits)</w:t>
            </w:r>
          </w:p>
        </w:tc>
      </w:tr>
      <w:tr>
        <w:tc>
          <w:tcPr>
            <w:tcW w:type="dxa" w:w="3000"/>
            <w:tcMar>
              <w:top w:type="dxa" w:w="100"/>
              <w:left w:type="dxa" w:w="120"/>
              <w:bottom w:type="dxa" w:w="100"/>
              <w:right w:type="dxa" w:w="120"/>
            </w:tcMar>
          </w:tcPr>
          <w:p>
            <w:r>
              <w:rPr>
                <w:b w:val="false"/>
                <w:bCs w:val="false"/>
                <w:sz w:val="20"/>
                <w:szCs w:val="20"/>
              </w:rPr>
              <w:t xml:space="preserve">Documentation</w:t>
            </w:r>
          </w:p>
        </w:tc>
        <w:tc>
          <w:tcPr>
            <w:tcW w:type="dxa" w:w="6500"/>
            <w:tcMar>
              <w:top w:type="dxa" w:w="100"/>
              <w:left w:type="dxa" w:w="120"/>
              <w:bottom w:type="dxa" w:w="100"/>
              <w:right w:type="dxa" w:w="120"/>
            </w:tcMar>
          </w:tcPr>
          <w:p>
            <w:r>
              <w:rPr>
                <w:b w:val="false"/>
                <w:bCs w:val="false"/>
                <w:sz w:val="20"/>
                <w:szCs w:val="20"/>
              </w:rPr>
              <w:t xml:space="preserve">Microsoft Word (.docx) for weekly reports</w:t>
            </w:r>
          </w:p>
        </w:tc>
      </w:tr>
    </w:tbl>
    <w:p>
      <w:pPr>
        <w:spacing w:after="200"/>
      </w:pPr>
    </w:p>
    <w:p>
      <w:pPr>
        <w:pStyle w:val="Heading1"/>
        <w:spacing w:after="160" w:before="360"/>
      </w:pPr>
      <w:r>
        <w:t xml:space="preserve">6. Risk Management</w:t>
      </w:r>
    </w:p>
    <w:p>
      <w:pPr>
        <w:spacing w:after="160"/>
      </w:pPr>
      <w:r>
        <w:t xml:space="preserve">The table below identifies the main risks to the project's quality and credibility, along with how each will be mitigated.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9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Risk</w:t>
            </w:r>
          </w:p>
        </w:tc>
        <w:tc>
          <w:tcPr>
            <w:tcW w:type="dxa" w:w="1400"/>
            <w:shd w:fill="1F3864" w:val="clear"/>
            <w:tcMar>
              <w:top w:type="dxa" w:w="100"/>
              <w:left w:type="dxa" w:w="120"/>
              <w:bottom w:type="dxa" w:w="100"/>
              <w:right w:type="dxa" w:w="120"/>
            </w:tcMar>
          </w:tcPr>
          <w:p>
            <w:r>
              <w:rPr>
                <w:b/>
                <w:bCs/>
                <w:color w:val="FFFFFF"/>
                <w:sz w:val="20"/>
                <w:szCs w:val="20"/>
              </w:rPr>
              <w:t xml:space="preserve">Impact</w:t>
            </w:r>
          </w:p>
        </w:tc>
        <w:tc>
          <w:tcPr>
            <w:tcW w:type="dxa" w:w="4900"/>
            <w:shd w:fill="1F3864" w:val="clear"/>
            <w:tcMar>
              <w:top w:type="dxa" w:w="100"/>
              <w:left w:type="dxa" w:w="120"/>
              <w:bottom w:type="dxa" w:w="100"/>
              <w:right w:type="dxa" w:w="120"/>
            </w:tcMar>
          </w:tcPr>
          <w:p>
            <w:r>
              <w:rPr>
                <w:b/>
                <w:bCs/>
                <w:color w:val="FFFFFF"/>
                <w:sz w:val="20"/>
                <w:szCs w:val="20"/>
              </w:rPr>
              <w:t xml:space="preserve">Mitigation</w:t>
            </w:r>
          </w:p>
        </w:tc>
      </w:tr>
      <w:tr>
        <w:tc>
          <w:tcPr>
            <w:tcW w:type="dxa" w:w="3200"/>
            <w:tcMar>
              <w:top w:type="dxa" w:w="100"/>
              <w:left w:type="dxa" w:w="120"/>
              <w:bottom w:type="dxa" w:w="100"/>
              <w:right w:type="dxa" w:w="120"/>
            </w:tcMar>
          </w:tcPr>
          <w:p>
            <w:r>
              <w:rPr>
                <w:b w:val="false"/>
                <w:bCs w:val="false"/>
                <w:sz w:val="20"/>
                <w:szCs w:val="20"/>
              </w:rPr>
              <w:t xml:space="preserve">Class imbalance in target variable</w:t>
            </w:r>
          </w:p>
        </w:tc>
        <w:tc>
          <w:tcPr>
            <w:tcW w:type="dxa" w:w="1400"/>
            <w:tcMar>
              <w:top w:type="dxa" w:w="100"/>
              <w:left w:type="dxa" w:w="120"/>
              <w:bottom w:type="dxa" w:w="100"/>
              <w:right w:type="dxa" w:w="120"/>
            </w:tcMar>
          </w:tcPr>
          <w:p>
            <w:r>
              <w:rPr>
                <w:b w:val="false"/>
                <w:bCs w:val="false"/>
                <w:sz w:val="20"/>
                <w:szCs w:val="20"/>
              </w:rPr>
              <w:t xml:space="preserve">High</w:t>
            </w:r>
          </w:p>
        </w:tc>
        <w:tc>
          <w:tcPr>
            <w:tcW w:type="dxa" w:w="4900"/>
            <w:tcMar>
              <w:top w:type="dxa" w:w="100"/>
              <w:left w:type="dxa" w:w="120"/>
              <w:bottom w:type="dxa" w:w="100"/>
              <w:right w:type="dxa" w:w="120"/>
            </w:tcMar>
          </w:tcPr>
          <w:p>
            <w:r>
              <w:rPr>
                <w:b w:val="false"/>
                <w:bCs w:val="false"/>
                <w:sz w:val="20"/>
                <w:szCs w:val="20"/>
              </w:rPr>
              <w:t xml:space="preserve">Use stratified train-test splits, appropriate metrics (precision/recall/F1 over accuracy), and consider resampling techniques (e.g. SMOTE) if needed.</w:t>
            </w:r>
          </w:p>
        </w:tc>
      </w:tr>
      <w:tr>
        <w:tc>
          <w:tcPr>
            <w:tcW w:type="dxa" w:w="3200"/>
            <w:tcMar>
              <w:top w:type="dxa" w:w="100"/>
              <w:left w:type="dxa" w:w="120"/>
              <w:bottom w:type="dxa" w:w="100"/>
              <w:right w:type="dxa" w:w="120"/>
            </w:tcMar>
          </w:tcPr>
          <w:p>
            <w:r>
              <w:rPr>
                <w:b w:val="false"/>
                <w:bCs w:val="false"/>
                <w:sz w:val="20"/>
                <w:szCs w:val="20"/>
              </w:rPr>
              <w:t xml:space="preserve">Data leakage via the 'duration' feature</w:t>
            </w:r>
          </w:p>
        </w:tc>
        <w:tc>
          <w:tcPr>
            <w:tcW w:type="dxa" w:w="1400"/>
            <w:tcMar>
              <w:top w:type="dxa" w:w="100"/>
              <w:left w:type="dxa" w:w="120"/>
              <w:bottom w:type="dxa" w:w="100"/>
              <w:right w:type="dxa" w:w="120"/>
            </w:tcMar>
          </w:tcPr>
          <w:p>
            <w:r>
              <w:rPr>
                <w:b w:val="false"/>
                <w:bCs w:val="false"/>
                <w:sz w:val="20"/>
                <w:szCs w:val="20"/>
              </w:rPr>
              <w:t xml:space="preserve">High</w:t>
            </w:r>
          </w:p>
        </w:tc>
        <w:tc>
          <w:tcPr>
            <w:tcW w:type="dxa" w:w="4900"/>
            <w:tcMar>
              <w:top w:type="dxa" w:w="100"/>
              <w:left w:type="dxa" w:w="120"/>
              <w:bottom w:type="dxa" w:w="100"/>
              <w:right w:type="dxa" w:w="120"/>
            </w:tcMar>
          </w:tcPr>
          <w:p>
            <w:r>
              <w:rPr>
                <w:b w:val="false"/>
                <w:bCs w:val="false"/>
                <w:sz w:val="20"/>
                <w:szCs w:val="20"/>
              </w:rPr>
              <w:t xml:space="preserve">Explicitly document that duration is only known after a call ends; treat it as unavailable at prediction time or clearly flag any model that uses it as a benchmark-only variant.</w:t>
            </w:r>
          </w:p>
        </w:tc>
      </w:tr>
      <w:tr>
        <w:tc>
          <w:tcPr>
            <w:tcW w:type="dxa" w:w="3200"/>
            <w:tcMar>
              <w:top w:type="dxa" w:w="100"/>
              <w:left w:type="dxa" w:w="120"/>
              <w:bottom w:type="dxa" w:w="100"/>
              <w:right w:type="dxa" w:w="120"/>
            </w:tcMar>
          </w:tcPr>
          <w:p>
            <w:r>
              <w:rPr>
                <w:b w:val="false"/>
                <w:bCs w:val="false"/>
                <w:sz w:val="20"/>
                <w:szCs w:val="20"/>
              </w:rPr>
              <w:t xml:space="preserve">Limited weekly time availability</w:t>
            </w:r>
          </w:p>
        </w:tc>
        <w:tc>
          <w:tcPr>
            <w:tcW w:type="dxa" w:w="1400"/>
            <w:tcMar>
              <w:top w:type="dxa" w:w="100"/>
              <w:left w:type="dxa" w:w="120"/>
              <w:bottom w:type="dxa" w:w="100"/>
              <w:right w:type="dxa" w:w="120"/>
            </w:tcMar>
          </w:tcPr>
          <w:p>
            <w:r>
              <w:rPr>
                <w:b w:val="false"/>
                <w:bCs w:val="false"/>
                <w:sz w:val="20"/>
                <w:szCs w:val="20"/>
              </w:rPr>
              <w:t xml:space="preserve">Medium</w:t>
            </w:r>
          </w:p>
        </w:tc>
        <w:tc>
          <w:tcPr>
            <w:tcW w:type="dxa" w:w="4900"/>
            <w:tcMar>
              <w:top w:type="dxa" w:w="100"/>
              <w:left w:type="dxa" w:w="120"/>
              <w:bottom w:type="dxa" w:w="100"/>
              <w:right w:type="dxa" w:w="120"/>
            </w:tcMar>
          </w:tcPr>
          <w:p>
            <w:r>
              <w:rPr>
                <w:b w:val="false"/>
                <w:bCs w:val="false"/>
                <w:sz w:val="20"/>
                <w:szCs w:val="20"/>
              </w:rPr>
              <w:t xml:space="preserve">Scope each week's deliverable to a focused, achievable core rather than exhaustive coverage; prioritize depth on the concepts most likely to come up in interviews.</w:t>
            </w:r>
          </w:p>
        </w:tc>
      </w:tr>
      <w:tr>
        <w:tc>
          <w:tcPr>
            <w:tcW w:type="dxa" w:w="3200"/>
            <w:tcMar>
              <w:top w:type="dxa" w:w="100"/>
              <w:left w:type="dxa" w:w="120"/>
              <w:bottom w:type="dxa" w:w="100"/>
              <w:right w:type="dxa" w:w="120"/>
            </w:tcMar>
          </w:tcPr>
          <w:p>
            <w:r>
              <w:rPr>
                <w:b w:val="false"/>
                <w:bCs w:val="false"/>
                <w:sz w:val="20"/>
                <w:szCs w:val="20"/>
              </w:rPr>
              <w:t xml:space="preserve">Overfitting during optimization (Week 5)</w:t>
            </w:r>
          </w:p>
        </w:tc>
        <w:tc>
          <w:tcPr>
            <w:tcW w:type="dxa" w:w="1400"/>
            <w:tcMar>
              <w:top w:type="dxa" w:w="100"/>
              <w:left w:type="dxa" w:w="120"/>
              <w:bottom w:type="dxa" w:w="100"/>
              <w:right w:type="dxa" w:w="120"/>
            </w:tcMar>
          </w:tcPr>
          <w:p>
            <w:r>
              <w:rPr>
                <w:b w:val="false"/>
                <w:bCs w:val="false"/>
                <w:sz w:val="20"/>
                <w:szCs w:val="20"/>
              </w:rPr>
              <w:t xml:space="preserve">Medium</w:t>
            </w:r>
          </w:p>
        </w:tc>
        <w:tc>
          <w:tcPr>
            <w:tcW w:type="dxa" w:w="4900"/>
            <w:tcMar>
              <w:top w:type="dxa" w:w="100"/>
              <w:left w:type="dxa" w:w="120"/>
              <w:bottom w:type="dxa" w:w="100"/>
              <w:right w:type="dxa" w:w="120"/>
            </w:tcMar>
          </w:tcPr>
          <w:p>
            <w:r>
              <w:rPr>
                <w:b w:val="false"/>
                <w:bCs w:val="false"/>
                <w:sz w:val="20"/>
                <w:szCs w:val="20"/>
              </w:rPr>
              <w:t xml:space="preserve">Use k-fold cross-validation during tuning, not just a single train-test split, and monitor validation vs. training performance.</w:t>
            </w:r>
          </w:p>
        </w:tc>
      </w:tr>
      <w:tr>
        <w:tc>
          <w:tcPr>
            <w:tcW w:type="dxa" w:w="3200"/>
            <w:tcMar>
              <w:top w:type="dxa" w:w="100"/>
              <w:left w:type="dxa" w:w="120"/>
              <w:bottom w:type="dxa" w:w="100"/>
              <w:right w:type="dxa" w:w="120"/>
            </w:tcMar>
          </w:tcPr>
          <w:p>
            <w:r>
              <w:rPr>
                <w:b w:val="false"/>
                <w:bCs w:val="false"/>
                <w:sz w:val="20"/>
                <w:szCs w:val="20"/>
              </w:rPr>
              <w:t xml:space="preserve">Misinterpreting categorical features</w:t>
            </w:r>
          </w:p>
        </w:tc>
        <w:tc>
          <w:tcPr>
            <w:tcW w:type="dxa" w:w="1400"/>
            <w:tcMar>
              <w:top w:type="dxa" w:w="100"/>
              <w:left w:type="dxa" w:w="120"/>
              <w:bottom w:type="dxa" w:w="100"/>
              <w:right w:type="dxa" w:w="120"/>
            </w:tcMar>
          </w:tcPr>
          <w:p>
            <w:r>
              <w:rPr>
                <w:b w:val="false"/>
                <w:bCs w:val="false"/>
                <w:sz w:val="20"/>
                <w:szCs w:val="20"/>
              </w:rPr>
              <w:t xml:space="preserve">Low</w:t>
            </w:r>
          </w:p>
        </w:tc>
        <w:tc>
          <w:tcPr>
            <w:tcW w:type="dxa" w:w="4900"/>
            <w:tcMar>
              <w:top w:type="dxa" w:w="100"/>
              <w:left w:type="dxa" w:w="120"/>
              <w:bottom w:type="dxa" w:w="100"/>
              <w:right w:type="dxa" w:w="120"/>
            </w:tcMar>
          </w:tcPr>
          <w:p>
            <w:r>
              <w:rPr>
                <w:b w:val="false"/>
                <w:bCs w:val="false"/>
                <w:sz w:val="20"/>
                <w:szCs w:val="20"/>
              </w:rPr>
              <w:t xml:space="preserve">Cross-check feature definitions against the official UCI Bank Marketing dataset documentation before encoding.</w:t>
            </w:r>
          </w:p>
        </w:tc>
      </w:tr>
    </w:tbl>
    <w:p>
      <w:pPr>
        <w:spacing w:after="200"/>
      </w:pPr>
    </w:p>
    <w:p>
      <w:pPr>
        <w:pStyle w:val="Heading1"/>
        <w:spacing w:after="160" w:before="360"/>
      </w:pPr>
      <w:r>
        <w:t xml:space="preserve">7. Strategic Roadmap for Implementation</w:t>
      </w:r>
    </w:p>
    <w:p>
      <w:pPr>
        <w:pStyle w:val="Heading2"/>
        <w:spacing w:after="120" w:before="240"/>
      </w:pPr>
      <w:r>
        <w:t xml:space="preserve">Phase 1 — Foundation (Weeks 1-2)</w:t>
      </w:r>
    </w:p>
    <w:p>
      <w:pPr>
        <w:spacing w:after="160"/>
      </w:pPr>
      <w:r>
        <w:t xml:space="preserve">Establish a clear problem definition and a justified preprocessing and feature engineering strategy before writing model code, so every later decision has a documented rationale.</w:t>
      </w:r>
    </w:p>
    <w:p>
      <w:pPr>
        <w:pStyle w:val="Heading2"/>
        <w:spacing w:after="120" w:before="240"/>
      </w:pPr>
      <w:r>
        <w:t xml:space="preserve">Phase 2 — Implementation (Week 3)</w:t>
      </w:r>
    </w:p>
    <w:p>
      <w:pPr>
        <w:spacing w:after="160"/>
      </w:pPr>
      <w:r>
        <w:t xml:space="preserve">Translate the plan into a working baseline model with clean, well-commented, and version-controlled code.</w:t>
      </w:r>
    </w:p>
    <w:p>
      <w:pPr>
        <w:pStyle w:val="Heading2"/>
        <w:spacing w:after="120" w:before="240"/>
      </w:pPr>
      <w:r>
        <w:t xml:space="preserve">Phase 3 — Evaluation (Week 4)</w:t>
      </w:r>
    </w:p>
    <w:p>
      <w:pPr>
        <w:spacing w:after="160"/>
      </w:pPr>
      <w:r>
        <w:t xml:space="preserve">Rigorously test the model using metrics and validation techniques suited to an imbalanced classification problem, and analyze where and why it makes errors.</w:t>
      </w:r>
    </w:p>
    <w:p>
      <w:pPr>
        <w:pStyle w:val="Heading2"/>
        <w:spacing w:after="120" w:before="240"/>
      </w:pPr>
      <w:r>
        <w:t xml:space="preserve">Phase 4 — Optimization (Week 5)</w:t>
      </w:r>
    </w:p>
    <w:p>
      <w:pPr>
        <w:spacing w:after="160"/>
      </w:pPr>
      <w:r>
        <w:t xml:space="preserve">Systematically tune the model through hyperparameter search, using cross-validation to guard against overfitting to a single split.</w:t>
      </w:r>
    </w:p>
    <w:p>
      <w:pPr>
        <w:pStyle w:val="Heading2"/>
        <w:spacing w:after="120" w:before="240"/>
      </w:pPr>
      <w:r>
        <w:t xml:space="preserve">Phase 5 — Consolidation (Week 6)</w:t>
      </w:r>
    </w:p>
    <w:p>
      <w:pPr>
        <w:spacing w:after="160"/>
      </w:pPr>
      <w:r>
        <w:t xml:space="preserve">Bring every phase together into a single, coherent final report that tells the full story of the project — decisions, trade-offs, results, and lessons learned.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2026-08-24T11:26:32.710Z</dcterms:created>
  <dcterms:modified xsi:type="dcterms:W3CDTF">2026-08-24T11:26:32.710Z</dcterms:modified>
</cp:coreProperties>
</file>

<file path=docProps/custom.xml><?xml version="1.0" encoding="utf-8"?>
<Properties xmlns="http://schemas.openxmlformats.org/officeDocument/2006/custom-properties" xmlns:vt="http://schemas.openxmlformats.org/officeDocument/2006/docPropsVTypes"/>
</file>