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Model Evaluation and Validation Techniques</w:t>
      </w:r>
    </w:p>
    <w:p>
      <w:pPr>
        <w:spacing w:after="60"/>
        <w:jc w:val="center"/>
      </w:pPr>
      <w:r>
        <w:rPr>
          <w:i/>
          <w:iCs/>
          <w:sz w:val="24"/>
          <w:szCs w:val="24"/>
        </w:rPr>
        <w:t xml:space="preserve">Bank Marketing Dataset — Term Deposit Subscription Prediction</w:t>
      </w:r>
    </w:p>
    <w:p>
      <w:pPr>
        <w:spacing w:after="60"/>
        <w:jc w:val="center"/>
      </w:pPr>
      <w:r>
        <w:rPr>
          <w:sz w:val="22"/>
          <w:szCs w:val="22"/>
        </w:rPr>
        <w:t xml:space="preserve">Machine Learning Engineer Internship — Week 4 Deliverable</w:t>
      </w:r>
    </w:p>
    <w:p>
      <w:pPr>
        <w:spacing w:after="600"/>
        <w:jc w:val="center"/>
      </w:pPr>
      <w:r>
        <w:rPr>
          <w:sz w:val="22"/>
          <w:szCs w:val="22"/>
        </w:rPr>
        <w:t xml:space="preserve">Prepared by: Aswathi</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Introduction</w:t>
      </w:r>
    </w:p>
    <w:p>
      <w:pPr>
        <w:spacing w:after="160"/>
      </w:pPr>
      <w:r>
        <w:t xml:space="preserve">Training a model is only half the job — knowing how well it actually works, and where it fails, is what separates a usable model from a misleading one. This report evaluates the Logistic Regression baseline built in Week 3 using multiple evaluation metrics, stratified cross-validation, and structured error analysis, rather than relying on a single accuracy number.</w:t>
      </w:r>
    </w:p>
    <w:p>
      <w:pPr>
        <w:pStyle w:val="Heading2"/>
        <w:spacing w:after="120" w:before="240"/>
      </w:pPr>
      <w:r>
        <w:t xml:space="preserve">Overfitting and Underfitting</w:t>
      </w:r>
    </w:p>
    <w:p>
      <w:pPr>
        <w:spacing w:after="160"/>
      </w:pPr>
      <w:r>
        <w:rPr>
          <w:b/>
          <w:bCs/>
        </w:rPr>
        <w:t xml:space="preserve">Overfitting: </w:t>
      </w:r>
      <w:r>
        <w:t xml:space="preserve">occurs when a model learns the training data too specifically — including its noise and quirks — and performs noticeably worse on new, unseen data. It shows up as a large gap between training performance and test performance.</w:t>
      </w:r>
    </w:p>
    <w:p>
      <w:pPr>
        <w:spacing w:after="160"/>
      </w:pPr>
      <w:r>
        <w:rPr>
          <w:b/>
          <w:bCs/>
        </w:rPr>
        <w:t xml:space="preserve">Underfitting: </w:t>
      </w:r>
      <w:r>
        <w:t xml:space="preserve">occurs when a model is too simple to capture the real relationship in the data, performing poorly on both training and test data alike.</w:t>
      </w:r>
    </w:p>
    <w:p>
      <w:pPr>
        <w:spacing w:after="160"/>
      </w:pPr>
      <w:r>
        <w:rPr>
          <w:b/>
          <w:bCs/>
        </w:rPr>
        <w:t xml:space="preserve">Robust validation: </w:t>
      </w:r>
      <w:r>
        <w:t xml:space="preserve">exists to catch both problems before a model is trusted or deployed — a single train-test split can give a misleadingly optimistic or pessimistic result purely by chance, especially with an imbalanced target like this one (89% "no" / 11% "yes"). This report uses stratified k-fold cross-validation specifically to guard against that.</w:t>
      </w:r>
    </w:p>
    <w:p>
      <w:pPr>
        <w:pStyle w:val="Heading1"/>
        <w:spacing w:after="160" w:before="360"/>
      </w:pPr>
      <w:r>
        <w:t xml:space="preserve">2. Evaluation Metrics</w:t>
      </w:r>
    </w:p>
    <w:p>
      <w:pPr>
        <w:spacing w:after="160"/>
      </w:pPr>
      <w:r>
        <w:t xml:space="preserve">Different metrics answer different questions, and the right one depends on the cost of different types of errors. All metrics below (except RMSE, included for completeness) were computed for this classification problem.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100"/>
      </w:tblGrid>
      <w:tr>
        <w:trPr>
          <w:tblHeader/>
        </w:trPr>
        <w:tc>
          <w:tcPr>
            <w:tcW w:type="dxa" w:w="1700"/>
            <w:shd w:fill="1F3864" w:val="clear"/>
            <w:tcMar>
              <w:top w:type="dxa" w:w="100"/>
              <w:left w:type="dxa" w:w="120"/>
              <w:bottom w:type="dxa" w:w="100"/>
              <w:right w:type="dxa" w:w="120"/>
            </w:tcMar>
          </w:tcPr>
          <w:p>
            <w:r>
              <w:rPr>
                <w:b/>
                <w:bCs/>
                <w:color w:val="FFFFFF"/>
                <w:sz w:val="20"/>
                <w:szCs w:val="20"/>
              </w:rPr>
              <w:t xml:space="preserve">Metric</w:t>
            </w:r>
          </w:p>
        </w:tc>
        <w:tc>
          <w:tcPr>
            <w:tcW w:type="dxa" w:w="2400"/>
            <w:shd w:fill="1F3864" w:val="clear"/>
            <w:tcMar>
              <w:top w:type="dxa" w:w="100"/>
              <w:left w:type="dxa" w:w="120"/>
              <w:bottom w:type="dxa" w:w="100"/>
              <w:right w:type="dxa" w:w="120"/>
            </w:tcMar>
          </w:tcPr>
          <w:p>
            <w:r>
              <w:rPr>
                <w:b/>
                <w:bCs/>
                <w:color w:val="FFFFFF"/>
                <w:sz w:val="20"/>
                <w:szCs w:val="20"/>
              </w:rPr>
              <w:t xml:space="preserve">Formula / Basis</w:t>
            </w:r>
          </w:p>
        </w:tc>
        <w:tc>
          <w:tcPr>
            <w:tcW w:type="dxa" w:w="5100"/>
            <w:shd w:fill="1F3864" w:val="clear"/>
            <w:tcMar>
              <w:top w:type="dxa" w:w="100"/>
              <w:left w:type="dxa" w:w="120"/>
              <w:bottom w:type="dxa" w:w="100"/>
              <w:right w:type="dxa" w:w="120"/>
            </w:tcMar>
          </w:tcPr>
          <w:p>
            <w:r>
              <w:rPr>
                <w:b/>
                <w:bCs/>
                <w:color w:val="FFFFFF"/>
                <w:sz w:val="20"/>
                <w:szCs w:val="20"/>
              </w:rPr>
              <w:t xml:space="preserve">When It Matters</w:t>
            </w:r>
          </w:p>
        </w:tc>
      </w:tr>
      <w:tr>
        <w:tc>
          <w:tcPr>
            <w:tcW w:type="dxa" w:w="1700"/>
            <w:tcMar>
              <w:top w:type="dxa" w:w="100"/>
              <w:left w:type="dxa" w:w="120"/>
              <w:bottom w:type="dxa" w:w="100"/>
              <w:right w:type="dxa" w:w="120"/>
            </w:tcMar>
          </w:tcPr>
          <w:p>
            <w:r>
              <w:rPr>
                <w:b w:val="false"/>
                <w:bCs w:val="false"/>
                <w:sz w:val="20"/>
                <w:szCs w:val="20"/>
              </w:rPr>
              <w:t xml:space="preserve">Accuracy</w:t>
            </w:r>
          </w:p>
        </w:tc>
        <w:tc>
          <w:tcPr>
            <w:tcW w:type="dxa" w:w="2400"/>
            <w:tcMar>
              <w:top w:type="dxa" w:w="100"/>
              <w:left w:type="dxa" w:w="120"/>
              <w:bottom w:type="dxa" w:w="100"/>
              <w:right w:type="dxa" w:w="120"/>
            </w:tcMar>
          </w:tcPr>
          <w:p>
            <w:r>
              <w:rPr>
                <w:b w:val="false"/>
                <w:bCs w:val="false"/>
                <w:sz w:val="20"/>
                <w:szCs w:val="20"/>
              </w:rPr>
              <w:t xml:space="preserve">(TP+TN) / Total</w:t>
            </w:r>
          </w:p>
        </w:tc>
        <w:tc>
          <w:tcPr>
            <w:tcW w:type="dxa" w:w="5100"/>
            <w:tcMar>
              <w:top w:type="dxa" w:w="100"/>
              <w:left w:type="dxa" w:w="120"/>
              <w:bottom w:type="dxa" w:w="100"/>
              <w:right w:type="dxa" w:w="120"/>
            </w:tcMar>
          </w:tcPr>
          <w:p>
            <w:r>
              <w:rPr>
                <w:b w:val="false"/>
                <w:bCs w:val="false"/>
                <w:sz w:val="20"/>
                <w:szCs w:val="20"/>
              </w:rPr>
              <w:t xml:space="preserve">Overall correctness. Misleading on imbalanced data — a model predicting the majority class only can score deceptively high.</w:t>
            </w:r>
          </w:p>
        </w:tc>
      </w:tr>
      <w:tr>
        <w:tc>
          <w:tcPr>
            <w:tcW w:type="dxa" w:w="1700"/>
            <w:tcMar>
              <w:top w:type="dxa" w:w="100"/>
              <w:left w:type="dxa" w:w="120"/>
              <w:bottom w:type="dxa" w:w="100"/>
              <w:right w:type="dxa" w:w="120"/>
            </w:tcMar>
          </w:tcPr>
          <w:p>
            <w:r>
              <w:rPr>
                <w:b w:val="false"/>
                <w:bCs w:val="false"/>
                <w:sz w:val="20"/>
                <w:szCs w:val="20"/>
              </w:rPr>
              <w:t xml:space="preserve">Precision</w:t>
            </w:r>
          </w:p>
        </w:tc>
        <w:tc>
          <w:tcPr>
            <w:tcW w:type="dxa" w:w="2400"/>
            <w:tcMar>
              <w:top w:type="dxa" w:w="100"/>
              <w:left w:type="dxa" w:w="120"/>
              <w:bottom w:type="dxa" w:w="100"/>
              <w:right w:type="dxa" w:w="120"/>
            </w:tcMar>
          </w:tcPr>
          <w:p>
            <w:r>
              <w:rPr>
                <w:b w:val="false"/>
                <w:bCs w:val="false"/>
                <w:sz w:val="20"/>
                <w:szCs w:val="20"/>
              </w:rPr>
              <w:t xml:space="preserve">TP / (TP+FP)</w:t>
            </w:r>
          </w:p>
        </w:tc>
        <w:tc>
          <w:tcPr>
            <w:tcW w:type="dxa" w:w="5100"/>
            <w:tcMar>
              <w:top w:type="dxa" w:w="100"/>
              <w:left w:type="dxa" w:w="120"/>
              <w:bottom w:type="dxa" w:w="100"/>
              <w:right w:type="dxa" w:w="120"/>
            </w:tcMar>
          </w:tcPr>
          <w:p>
            <w:r>
              <w:rPr>
                <w:b w:val="false"/>
                <w:bCs w:val="false"/>
                <w:sz w:val="20"/>
                <w:szCs w:val="20"/>
              </w:rPr>
              <w:t xml:space="preserve">Of everyone the model flagged "yes", how many actually were. Matters when false alarms are costly (e.g. wasted call time).</w:t>
            </w:r>
          </w:p>
        </w:tc>
      </w:tr>
      <w:tr>
        <w:tc>
          <w:tcPr>
            <w:tcW w:type="dxa" w:w="1700"/>
            <w:tcMar>
              <w:top w:type="dxa" w:w="100"/>
              <w:left w:type="dxa" w:w="120"/>
              <w:bottom w:type="dxa" w:w="100"/>
              <w:right w:type="dxa" w:w="120"/>
            </w:tcMar>
          </w:tcPr>
          <w:p>
            <w:r>
              <w:rPr>
                <w:b w:val="false"/>
                <w:bCs w:val="false"/>
                <w:sz w:val="20"/>
                <w:szCs w:val="20"/>
              </w:rPr>
              <w:t xml:space="preserve">Recall</w:t>
            </w:r>
          </w:p>
        </w:tc>
        <w:tc>
          <w:tcPr>
            <w:tcW w:type="dxa" w:w="2400"/>
            <w:tcMar>
              <w:top w:type="dxa" w:w="100"/>
              <w:left w:type="dxa" w:w="120"/>
              <w:bottom w:type="dxa" w:w="100"/>
              <w:right w:type="dxa" w:w="120"/>
            </w:tcMar>
          </w:tcPr>
          <w:p>
            <w:r>
              <w:rPr>
                <w:b w:val="false"/>
                <w:bCs w:val="false"/>
                <w:sz w:val="20"/>
                <w:szCs w:val="20"/>
              </w:rPr>
              <w:t xml:space="preserve">TP / (TP+FN)</w:t>
            </w:r>
          </w:p>
        </w:tc>
        <w:tc>
          <w:tcPr>
            <w:tcW w:type="dxa" w:w="5100"/>
            <w:tcMar>
              <w:top w:type="dxa" w:w="100"/>
              <w:left w:type="dxa" w:w="120"/>
              <w:bottom w:type="dxa" w:w="100"/>
              <w:right w:type="dxa" w:w="120"/>
            </w:tcMar>
          </w:tcPr>
          <w:p>
            <w:r>
              <w:rPr>
                <w:b w:val="false"/>
                <w:bCs w:val="false"/>
                <w:sz w:val="20"/>
                <w:szCs w:val="20"/>
              </w:rPr>
              <w:t xml:space="preserve">Of everyone who actually said "yes", how many the model caught. Matters when missing a true positive is costly.</w:t>
            </w:r>
          </w:p>
        </w:tc>
      </w:tr>
      <w:tr>
        <w:tc>
          <w:tcPr>
            <w:tcW w:type="dxa" w:w="1700"/>
            <w:tcMar>
              <w:top w:type="dxa" w:w="100"/>
              <w:left w:type="dxa" w:w="120"/>
              <w:bottom w:type="dxa" w:w="100"/>
              <w:right w:type="dxa" w:w="120"/>
            </w:tcMar>
          </w:tcPr>
          <w:p>
            <w:r>
              <w:rPr>
                <w:b w:val="false"/>
                <w:bCs w:val="false"/>
                <w:sz w:val="20"/>
                <w:szCs w:val="20"/>
              </w:rPr>
              <w:t xml:space="preserve">F1 Score</w:t>
            </w:r>
          </w:p>
        </w:tc>
        <w:tc>
          <w:tcPr>
            <w:tcW w:type="dxa" w:w="2400"/>
            <w:tcMar>
              <w:top w:type="dxa" w:w="100"/>
              <w:left w:type="dxa" w:w="120"/>
              <w:bottom w:type="dxa" w:w="100"/>
              <w:right w:type="dxa" w:w="120"/>
            </w:tcMar>
          </w:tcPr>
          <w:p>
            <w:r>
              <w:rPr>
                <w:b w:val="false"/>
                <w:bCs w:val="false"/>
                <w:sz w:val="20"/>
                <w:szCs w:val="20"/>
              </w:rPr>
              <w:t xml:space="preserve">Harmonic mean of precision &amp; recall</w:t>
            </w:r>
          </w:p>
        </w:tc>
        <w:tc>
          <w:tcPr>
            <w:tcW w:type="dxa" w:w="5100"/>
            <w:tcMar>
              <w:top w:type="dxa" w:w="100"/>
              <w:left w:type="dxa" w:w="120"/>
              <w:bottom w:type="dxa" w:w="100"/>
              <w:right w:type="dxa" w:w="120"/>
            </w:tcMar>
          </w:tcPr>
          <w:p>
            <w:r>
              <w:rPr>
                <w:b w:val="false"/>
                <w:bCs w:val="false"/>
                <w:sz w:val="20"/>
                <w:szCs w:val="20"/>
              </w:rPr>
              <w:t xml:space="preserve">A single balanced number, useful for comparing models when both false positives and false negatives matter.</w:t>
            </w:r>
          </w:p>
        </w:tc>
      </w:tr>
      <w:tr>
        <w:tc>
          <w:tcPr>
            <w:tcW w:type="dxa" w:w="1700"/>
            <w:tcMar>
              <w:top w:type="dxa" w:w="100"/>
              <w:left w:type="dxa" w:w="120"/>
              <w:bottom w:type="dxa" w:w="100"/>
              <w:right w:type="dxa" w:w="120"/>
            </w:tcMar>
          </w:tcPr>
          <w:p>
            <w:r>
              <w:rPr>
                <w:b w:val="false"/>
                <w:bCs w:val="false"/>
                <w:sz w:val="20"/>
                <w:szCs w:val="20"/>
              </w:rPr>
              <w:t xml:space="preserve">ROC-AUC</w:t>
            </w:r>
          </w:p>
        </w:tc>
        <w:tc>
          <w:tcPr>
            <w:tcW w:type="dxa" w:w="2400"/>
            <w:tcMar>
              <w:top w:type="dxa" w:w="100"/>
              <w:left w:type="dxa" w:w="120"/>
              <w:bottom w:type="dxa" w:w="100"/>
              <w:right w:type="dxa" w:w="120"/>
            </w:tcMar>
          </w:tcPr>
          <w:p>
            <w:r>
              <w:rPr>
                <w:b w:val="false"/>
                <w:bCs w:val="false"/>
                <w:sz w:val="20"/>
                <w:szCs w:val="20"/>
              </w:rPr>
              <w:t xml:space="preserve">Area under the ROC curve</w:t>
            </w:r>
          </w:p>
        </w:tc>
        <w:tc>
          <w:tcPr>
            <w:tcW w:type="dxa" w:w="5100"/>
            <w:tcMar>
              <w:top w:type="dxa" w:w="100"/>
              <w:left w:type="dxa" w:w="120"/>
              <w:bottom w:type="dxa" w:w="100"/>
              <w:right w:type="dxa" w:w="120"/>
            </w:tcMar>
          </w:tcPr>
          <w:p>
            <w:r>
              <w:rPr>
                <w:b w:val="false"/>
                <w:bCs w:val="false"/>
                <w:sz w:val="20"/>
                <w:szCs w:val="20"/>
              </w:rPr>
              <w:t xml:space="preserve">Measures ranking quality across all classification thresholds, not just one fixed cutoff — useful for comparing models independent of threshold choice.</w:t>
            </w:r>
          </w:p>
        </w:tc>
      </w:tr>
      <w:tr>
        <w:tc>
          <w:tcPr>
            <w:tcW w:type="dxa" w:w="1700"/>
            <w:tcMar>
              <w:top w:type="dxa" w:w="100"/>
              <w:left w:type="dxa" w:w="120"/>
              <w:bottom w:type="dxa" w:w="100"/>
              <w:right w:type="dxa" w:w="120"/>
            </w:tcMar>
          </w:tcPr>
          <w:p>
            <w:r>
              <w:rPr>
                <w:b w:val="false"/>
                <w:bCs w:val="false"/>
                <w:sz w:val="20"/>
                <w:szCs w:val="20"/>
              </w:rPr>
              <w:t xml:space="preserve">RMSE</w:t>
            </w:r>
          </w:p>
        </w:tc>
        <w:tc>
          <w:tcPr>
            <w:tcW w:type="dxa" w:w="2400"/>
            <w:tcMar>
              <w:top w:type="dxa" w:w="100"/>
              <w:left w:type="dxa" w:w="120"/>
              <w:bottom w:type="dxa" w:w="100"/>
              <w:right w:type="dxa" w:w="120"/>
            </w:tcMar>
          </w:tcPr>
          <w:p>
            <w:r>
              <w:rPr>
                <w:b w:val="false"/>
                <w:bCs w:val="false"/>
                <w:sz w:val="20"/>
                <w:szCs w:val="20"/>
              </w:rPr>
              <w:t xml:space="preserve">√(mean squared error)</w:t>
            </w:r>
          </w:p>
        </w:tc>
        <w:tc>
          <w:tcPr>
            <w:tcW w:type="dxa" w:w="5100"/>
            <w:tcMar>
              <w:top w:type="dxa" w:w="100"/>
              <w:left w:type="dxa" w:w="120"/>
              <w:bottom w:type="dxa" w:w="100"/>
              <w:right w:type="dxa" w:w="120"/>
            </w:tcMar>
          </w:tcPr>
          <w:p>
            <w:r>
              <w:rPr>
                <w:b w:val="false"/>
                <w:bCs w:val="false"/>
                <w:sz w:val="20"/>
                <w:szCs w:val="20"/>
              </w:rPr>
              <w:t xml:space="preserve">Not used here (this is classification, not regression) — included for completeness, as it's the standard metric for continuous-target problems.</w:t>
            </w:r>
          </w:p>
        </w:tc>
      </w:tr>
    </w:tbl>
    <w:p>
      <w:pPr>
        <w:spacing w:after="200"/>
      </w:pPr>
    </w:p>
    <w:p>
      <w:pPr>
        <w:pStyle w:val="Heading2"/>
        <w:spacing w:after="120" w:before="240"/>
      </w:pPr>
      <w:r>
        <w:t xml:space="preserve">Why Recall Was Prioritized Over Accuracy Here</w:t>
      </w:r>
    </w:p>
    <w:p>
      <w:pPr>
        <w:spacing w:after="160"/>
      </w:pPr>
      <w:r>
        <w:t xml:space="preserve">With an 89/11 class split, a model that always predicts "no" would score roughly 89% accuracy while catching zero real subscribers — completely useless to a bank trying to grow term deposits. Recall was treated as the primary metric of interest because the cost of missing a genuine subscriber (a false negative) is arguably higher than the cost of one extra, unsuccessful call (a false positive). class_weight='balanced' was used in training specifically to push the model to prioritize recall rather than defaulting to the majority class.</w:t>
      </w:r>
    </w:p>
    <w:p>
      <w:pPr>
        <w:pStyle w:val="Heading2"/>
        <w:spacing w:after="120" w:before="240"/>
      </w:pPr>
      <w:r>
        <w:t xml:space="preserve">Worked Example: Computing Every Metric by Hand</w:t>
      </w:r>
    </w:p>
    <w:p>
      <w:pPr>
        <w:spacing w:after="160"/>
      </w:pPr>
      <w:r>
        <w:t xml:space="preserve">The held-out test set produced the confusion matrix TN=643, FP=91, FN=36, TP=54 (total = 824 records). Rather than quoting the library's output alone, each metric is derived manually below from these four numbers, to make the arithmetic — not just the definition — explicit.</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Accuracy  = (TP + TN) / Total</w:t>
      </w:r>
      <w:r>
        <w:rPr>
          <w:rFonts w:ascii="Consolas" w:cs="Consolas" w:eastAsia="Consolas" w:hAnsi="Consolas"/>
          <w:sz w:val="18"/>
          <w:szCs w:val="18"/>
        </w:rPr>
        <w:br/>
        <w:t xml:space="preserve">          = (54 + 643) / 824</w:t>
      </w:r>
      <w:r>
        <w:rPr>
          <w:rFonts w:ascii="Consolas" w:cs="Consolas" w:eastAsia="Consolas" w:hAnsi="Consolas"/>
          <w:sz w:val="18"/>
          <w:szCs w:val="18"/>
        </w:rPr>
        <w:br/>
        <w:t xml:space="preserve">          = 697 / 824  =  0.846</w:t>
      </w:r>
      <w:r>
        <w:rPr>
          <w:rFonts w:ascii="Consolas" w:cs="Consolas" w:eastAsia="Consolas" w:hAnsi="Consolas"/>
          <w:sz w:val="18"/>
          <w:szCs w:val="18"/>
        </w:rPr>
        <w:br/>
        <w:t xml:space="preserve"/>
      </w:r>
      <w:r>
        <w:rPr>
          <w:rFonts w:ascii="Consolas" w:cs="Consolas" w:eastAsia="Consolas" w:hAnsi="Consolas"/>
          <w:sz w:val="18"/>
          <w:szCs w:val="18"/>
        </w:rPr>
        <w:br/>
        <w:t xml:space="preserve">Precision = TP / (TP + FP)</w:t>
      </w:r>
      <w:r>
        <w:rPr>
          <w:rFonts w:ascii="Consolas" w:cs="Consolas" w:eastAsia="Consolas" w:hAnsi="Consolas"/>
          <w:sz w:val="18"/>
          <w:szCs w:val="18"/>
        </w:rPr>
        <w:br/>
        <w:t xml:space="preserve">          = 54 / (54 + 91)</w:t>
      </w:r>
      <w:r>
        <w:rPr>
          <w:rFonts w:ascii="Consolas" w:cs="Consolas" w:eastAsia="Consolas" w:hAnsi="Consolas"/>
          <w:sz w:val="18"/>
          <w:szCs w:val="18"/>
        </w:rPr>
        <w:br/>
        <w:t xml:space="preserve">          = 54 / 145  =  0.372</w:t>
      </w:r>
      <w:r>
        <w:rPr>
          <w:rFonts w:ascii="Consolas" w:cs="Consolas" w:eastAsia="Consolas" w:hAnsi="Consolas"/>
          <w:sz w:val="18"/>
          <w:szCs w:val="18"/>
        </w:rPr>
        <w:br/>
        <w:t xml:space="preserve"/>
      </w:r>
      <w:r>
        <w:rPr>
          <w:rFonts w:ascii="Consolas" w:cs="Consolas" w:eastAsia="Consolas" w:hAnsi="Consolas"/>
          <w:sz w:val="18"/>
          <w:szCs w:val="18"/>
        </w:rPr>
        <w:br/>
        <w:t xml:space="preserve">Recall    = TP / (TP + FN)</w:t>
      </w:r>
      <w:r>
        <w:rPr>
          <w:rFonts w:ascii="Consolas" w:cs="Consolas" w:eastAsia="Consolas" w:hAnsi="Consolas"/>
          <w:sz w:val="18"/>
          <w:szCs w:val="18"/>
        </w:rPr>
        <w:br/>
        <w:t xml:space="preserve">          = 54 / (54 + 36)</w:t>
      </w:r>
      <w:r>
        <w:rPr>
          <w:rFonts w:ascii="Consolas" w:cs="Consolas" w:eastAsia="Consolas" w:hAnsi="Consolas"/>
          <w:sz w:val="18"/>
          <w:szCs w:val="18"/>
        </w:rPr>
        <w:br/>
        <w:t xml:space="preserve">          = 54 / 90   =  0.600</w:t>
      </w:r>
      <w:r>
        <w:rPr>
          <w:rFonts w:ascii="Consolas" w:cs="Consolas" w:eastAsia="Consolas" w:hAnsi="Consolas"/>
          <w:sz w:val="18"/>
          <w:szCs w:val="18"/>
        </w:rPr>
        <w:br/>
        <w:t xml:space="preserve"/>
      </w:r>
      <w:r>
        <w:rPr>
          <w:rFonts w:ascii="Consolas" w:cs="Consolas" w:eastAsia="Consolas" w:hAnsi="Consolas"/>
          <w:sz w:val="18"/>
          <w:szCs w:val="18"/>
        </w:rPr>
        <w:br/>
        <w:t xml:space="preserve">F1 Score  = 2 * (Precision * Recall) / (Precision + Recall)</w:t>
      </w:r>
      <w:r>
        <w:rPr>
          <w:rFonts w:ascii="Consolas" w:cs="Consolas" w:eastAsia="Consolas" w:hAnsi="Consolas"/>
          <w:sz w:val="18"/>
          <w:szCs w:val="18"/>
        </w:rPr>
        <w:br/>
        <w:t xml:space="preserve">          = 2 * (0.372 * 0.600) / (0.372 + 0.600)</w:t>
      </w:r>
      <w:r>
        <w:rPr>
          <w:rFonts w:ascii="Consolas" w:cs="Consolas" w:eastAsia="Consolas" w:hAnsi="Consolas"/>
          <w:sz w:val="18"/>
          <w:szCs w:val="18"/>
        </w:rPr>
        <w:br/>
        <w:t xml:space="preserve">          = 0.446 / 0.972  =  0.460</w:t>
      </w:r>
    </w:p>
    <w:p>
      <w:pPr>
        <w:spacing w:after="160"/>
      </w:pPr>
      <w:r>
        <w:t xml:space="preserve">Working through this by hand also clarifies why F1 sits closer to precision than to recall despite being their "average": the harmonic mean penalizes the smaller of the two values more heavily than an arithmetic average would, which is exactly why F1 is preferred over a simple average when one of the two metrics is noticeably weaker — here, precision (0.372) is pulling the combined score down more than recall (0.600) is pulling it up.</w:t>
      </w:r>
    </w:p>
    <w:p>
      <w:pPr>
        <w:pStyle w:val="Heading1"/>
        <w:spacing w:after="160" w:before="360"/>
      </w:pPr>
      <w:r>
        <w:t xml:space="preserve">3. Validation Techniques</w:t>
      </w:r>
    </w:p>
    <w:p>
      <w:pPr>
        <w:pStyle w:val="Heading2"/>
        <w:spacing w:after="120" w:before="240"/>
      </w:pPr>
      <w:r>
        <w:t xml:space="preserve">3.1 Stratified K-Fold Cross-Validation</w:t>
      </w:r>
    </w:p>
    <w:p>
      <w:pPr>
        <w:spacing w:after="160"/>
      </w:pPr>
      <w:r>
        <w:t xml:space="preserve">5-fold stratified cross-validation was run on the training set, meaning each of the 5 folds preserves the original ~89/11 class ratio — unlike plain k-fold, which could by chance produce a fold with very few "yes" examples given how rare they are.</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skf = StratifiedKFold(n_splits=5, shuffle=True, random_state=42)</w:t>
      </w:r>
      <w:r>
        <w:rPr>
          <w:rFonts w:ascii="Consolas" w:cs="Consolas" w:eastAsia="Consolas" w:hAnsi="Consolas"/>
          <w:sz w:val="18"/>
          <w:szCs w:val="18"/>
        </w:rPr>
        <w:br/>
        <w:t xml:space="preserve">cv_results = cross_validate(model, X_train, y_train, cv=skf,</w:t>
      </w:r>
      <w:r>
        <w:rPr>
          <w:rFonts w:ascii="Consolas" w:cs="Consolas" w:eastAsia="Consolas" w:hAnsi="Consolas"/>
          <w:sz w:val="18"/>
          <w:szCs w:val="18"/>
        </w:rPr>
        <w:br/>
        <w:t xml:space="preserve">    scoring=['accuracy','precision','recall','f1','roc_auc'])</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tblGrid>
      <w:tr>
        <w:trPr>
          <w:tblHeader/>
        </w:trPr>
        <w:tc>
          <w:tcPr>
            <w:tcW w:type="dxa" w:w="2000"/>
            <w:shd w:fill="1F3864" w:val="clear"/>
            <w:tcMar>
              <w:top w:type="dxa" w:w="100"/>
              <w:left w:type="dxa" w:w="120"/>
              <w:bottom w:type="dxa" w:w="100"/>
              <w:right w:type="dxa" w:w="120"/>
            </w:tcMar>
          </w:tcPr>
          <w:p>
            <w:r>
              <w:rPr>
                <w:b/>
                <w:bCs/>
                <w:color w:val="FFFFFF"/>
                <w:sz w:val="20"/>
                <w:szCs w:val="20"/>
              </w:rPr>
              <w:t xml:space="preserve">Metric</w:t>
            </w:r>
          </w:p>
        </w:tc>
        <w:tc>
          <w:tcPr>
            <w:tcW w:type="dxa" w:w="1600"/>
            <w:shd w:fill="1F3864" w:val="clear"/>
            <w:tcMar>
              <w:top w:type="dxa" w:w="100"/>
              <w:left w:type="dxa" w:w="120"/>
              <w:bottom w:type="dxa" w:w="100"/>
              <w:right w:type="dxa" w:w="120"/>
            </w:tcMar>
          </w:tcPr>
          <w:p>
            <w:r>
              <w:rPr>
                <w:b/>
                <w:bCs/>
                <w:color w:val="FFFFFF"/>
                <w:sz w:val="20"/>
                <w:szCs w:val="20"/>
              </w:rPr>
              <w:t xml:space="preserve">Mean (5-fold)</w:t>
            </w:r>
          </w:p>
        </w:tc>
        <w:tc>
          <w:tcPr>
            <w:tcW w:type="dxa" w:w="1600"/>
            <w:shd w:fill="1F3864" w:val="clear"/>
            <w:tcMar>
              <w:top w:type="dxa" w:w="100"/>
              <w:left w:type="dxa" w:w="120"/>
              <w:bottom w:type="dxa" w:w="100"/>
              <w:right w:type="dxa" w:w="120"/>
            </w:tcMar>
          </w:tcPr>
          <w:p>
            <w:r>
              <w:rPr>
                <w:b/>
                <w:bCs/>
                <w:color w:val="FFFFFF"/>
                <w:sz w:val="20"/>
                <w:szCs w:val="20"/>
              </w:rPr>
              <w:t xml:space="preserve">Std. Dev.</w:t>
            </w:r>
          </w:p>
        </w:tc>
      </w:tr>
      <w:tr>
        <w:tc>
          <w:tcPr>
            <w:tcW w:type="dxa" w:w="2000"/>
            <w:tcMar>
              <w:top w:type="dxa" w:w="100"/>
              <w:left w:type="dxa" w:w="120"/>
              <w:bottom w:type="dxa" w:w="100"/>
              <w:right w:type="dxa" w:w="120"/>
            </w:tcMar>
          </w:tcPr>
          <w:p>
            <w:r>
              <w:rPr>
                <w:b w:val="false"/>
                <w:bCs w:val="false"/>
                <w:sz w:val="20"/>
                <w:szCs w:val="20"/>
              </w:rPr>
              <w:t xml:space="preserve">Accuracy</w:t>
            </w:r>
          </w:p>
        </w:tc>
        <w:tc>
          <w:tcPr>
            <w:tcW w:type="dxa" w:w="1600"/>
            <w:tcMar>
              <w:top w:type="dxa" w:w="100"/>
              <w:left w:type="dxa" w:w="120"/>
              <w:bottom w:type="dxa" w:w="100"/>
              <w:right w:type="dxa" w:w="120"/>
            </w:tcMar>
          </w:tcPr>
          <w:p>
            <w:r>
              <w:rPr>
                <w:b w:val="false"/>
                <w:bCs w:val="false"/>
                <w:sz w:val="20"/>
                <w:szCs w:val="20"/>
              </w:rPr>
              <w:t xml:space="preserve">0.820</w:t>
            </w:r>
          </w:p>
        </w:tc>
        <w:tc>
          <w:tcPr>
            <w:tcW w:type="dxa" w:w="1600"/>
            <w:tcMar>
              <w:top w:type="dxa" w:w="100"/>
              <w:left w:type="dxa" w:w="120"/>
              <w:bottom w:type="dxa" w:w="100"/>
              <w:right w:type="dxa" w:w="120"/>
            </w:tcMar>
          </w:tcPr>
          <w:p>
            <w:r>
              <w:rPr>
                <w:b w:val="false"/>
                <w:bCs w:val="false"/>
                <w:sz w:val="20"/>
                <w:szCs w:val="20"/>
              </w:rPr>
              <w:t xml:space="preserve">0.012</w:t>
            </w:r>
          </w:p>
        </w:tc>
      </w:tr>
      <w:tr>
        <w:tc>
          <w:tcPr>
            <w:tcW w:type="dxa" w:w="2000"/>
            <w:tcMar>
              <w:top w:type="dxa" w:w="100"/>
              <w:left w:type="dxa" w:w="120"/>
              <w:bottom w:type="dxa" w:w="100"/>
              <w:right w:type="dxa" w:w="120"/>
            </w:tcMar>
          </w:tcPr>
          <w:p>
            <w:r>
              <w:rPr>
                <w:b w:val="false"/>
                <w:bCs w:val="false"/>
                <w:sz w:val="20"/>
                <w:szCs w:val="20"/>
              </w:rPr>
              <w:t xml:space="preserve">Precision</w:t>
            </w:r>
          </w:p>
        </w:tc>
        <w:tc>
          <w:tcPr>
            <w:tcW w:type="dxa" w:w="1600"/>
            <w:tcMar>
              <w:top w:type="dxa" w:w="100"/>
              <w:left w:type="dxa" w:w="120"/>
              <w:bottom w:type="dxa" w:w="100"/>
              <w:right w:type="dxa" w:w="120"/>
            </w:tcMar>
          </w:tcPr>
          <w:p>
            <w:r>
              <w:rPr>
                <w:b w:val="false"/>
                <w:bCs w:val="false"/>
                <w:sz w:val="20"/>
                <w:szCs w:val="20"/>
              </w:rPr>
              <w:t xml:space="preserve">0.328</w:t>
            </w:r>
          </w:p>
        </w:tc>
        <w:tc>
          <w:tcPr>
            <w:tcW w:type="dxa" w:w="1600"/>
            <w:tcMar>
              <w:top w:type="dxa" w:w="100"/>
              <w:left w:type="dxa" w:w="120"/>
              <w:bottom w:type="dxa" w:w="100"/>
              <w:right w:type="dxa" w:w="120"/>
            </w:tcMar>
          </w:tcPr>
          <w:p>
            <w:r>
              <w:rPr>
                <w:b w:val="false"/>
                <w:bCs w:val="false"/>
                <w:sz w:val="20"/>
                <w:szCs w:val="20"/>
              </w:rPr>
              <w:t xml:space="preserve">0.024</w:t>
            </w:r>
          </w:p>
        </w:tc>
      </w:tr>
      <w:tr>
        <w:tc>
          <w:tcPr>
            <w:tcW w:type="dxa" w:w="2000"/>
            <w:tcMar>
              <w:top w:type="dxa" w:w="100"/>
              <w:left w:type="dxa" w:w="120"/>
              <w:bottom w:type="dxa" w:w="100"/>
              <w:right w:type="dxa" w:w="120"/>
            </w:tcMar>
          </w:tcPr>
          <w:p>
            <w:r>
              <w:rPr>
                <w:b w:val="false"/>
                <w:bCs w:val="false"/>
                <w:sz w:val="20"/>
                <w:szCs w:val="20"/>
              </w:rPr>
              <w:t xml:space="preserve">Recall</w:t>
            </w:r>
          </w:p>
        </w:tc>
        <w:tc>
          <w:tcPr>
            <w:tcW w:type="dxa" w:w="1600"/>
            <w:tcMar>
              <w:top w:type="dxa" w:w="100"/>
              <w:left w:type="dxa" w:w="120"/>
              <w:bottom w:type="dxa" w:w="100"/>
              <w:right w:type="dxa" w:w="120"/>
            </w:tcMar>
          </w:tcPr>
          <w:p>
            <w:r>
              <w:rPr>
                <w:b w:val="false"/>
                <w:bCs w:val="false"/>
                <w:sz w:val="20"/>
                <w:szCs w:val="20"/>
              </w:rPr>
              <w:t xml:space="preserve">0.615</w:t>
            </w:r>
          </w:p>
        </w:tc>
        <w:tc>
          <w:tcPr>
            <w:tcW w:type="dxa" w:w="1600"/>
            <w:tcMar>
              <w:top w:type="dxa" w:w="100"/>
              <w:left w:type="dxa" w:w="120"/>
              <w:bottom w:type="dxa" w:w="100"/>
              <w:right w:type="dxa" w:w="120"/>
            </w:tcMar>
          </w:tcPr>
          <w:p>
            <w:r>
              <w:rPr>
                <w:b w:val="false"/>
                <w:bCs w:val="false"/>
                <w:sz w:val="20"/>
                <w:szCs w:val="20"/>
              </w:rPr>
              <w:t xml:space="preserve">0.073</w:t>
            </w:r>
          </w:p>
        </w:tc>
      </w:tr>
      <w:tr>
        <w:tc>
          <w:tcPr>
            <w:tcW w:type="dxa" w:w="2000"/>
            <w:tcMar>
              <w:top w:type="dxa" w:w="100"/>
              <w:left w:type="dxa" w:w="120"/>
              <w:bottom w:type="dxa" w:w="100"/>
              <w:right w:type="dxa" w:w="120"/>
            </w:tcMar>
          </w:tcPr>
          <w:p>
            <w:r>
              <w:rPr>
                <w:b w:val="false"/>
                <w:bCs w:val="false"/>
                <w:sz w:val="20"/>
                <w:szCs w:val="20"/>
              </w:rPr>
              <w:t xml:space="preserve">F1 Score</w:t>
            </w:r>
          </w:p>
        </w:tc>
        <w:tc>
          <w:tcPr>
            <w:tcW w:type="dxa" w:w="1600"/>
            <w:tcMar>
              <w:top w:type="dxa" w:w="100"/>
              <w:left w:type="dxa" w:w="120"/>
              <w:bottom w:type="dxa" w:w="100"/>
              <w:right w:type="dxa" w:w="120"/>
            </w:tcMar>
          </w:tcPr>
          <w:p>
            <w:r>
              <w:rPr>
                <w:b w:val="false"/>
                <w:bCs w:val="false"/>
                <w:sz w:val="20"/>
                <w:szCs w:val="20"/>
              </w:rPr>
              <w:t xml:space="preserve">0.427</w:t>
            </w:r>
          </w:p>
        </w:tc>
        <w:tc>
          <w:tcPr>
            <w:tcW w:type="dxa" w:w="1600"/>
            <w:tcMar>
              <w:top w:type="dxa" w:w="100"/>
              <w:left w:type="dxa" w:w="120"/>
              <w:bottom w:type="dxa" w:w="100"/>
              <w:right w:type="dxa" w:w="120"/>
            </w:tcMar>
          </w:tcPr>
          <w:p>
            <w:r>
              <w:rPr>
                <w:b w:val="false"/>
                <w:bCs w:val="false"/>
                <w:sz w:val="20"/>
                <w:szCs w:val="20"/>
              </w:rPr>
              <w:t xml:space="preserve">0.035</w:t>
            </w:r>
          </w:p>
        </w:tc>
      </w:tr>
      <w:tr>
        <w:tc>
          <w:tcPr>
            <w:tcW w:type="dxa" w:w="2000"/>
            <w:tcMar>
              <w:top w:type="dxa" w:w="100"/>
              <w:left w:type="dxa" w:w="120"/>
              <w:bottom w:type="dxa" w:w="100"/>
              <w:right w:type="dxa" w:w="120"/>
            </w:tcMar>
          </w:tcPr>
          <w:p>
            <w:r>
              <w:rPr>
                <w:b w:val="false"/>
                <w:bCs w:val="false"/>
                <w:sz w:val="20"/>
                <w:szCs w:val="20"/>
              </w:rPr>
              <w:t xml:space="preserve">ROC-AUC</w:t>
            </w:r>
          </w:p>
        </w:tc>
        <w:tc>
          <w:tcPr>
            <w:tcW w:type="dxa" w:w="1600"/>
            <w:tcMar>
              <w:top w:type="dxa" w:w="100"/>
              <w:left w:type="dxa" w:w="120"/>
              <w:bottom w:type="dxa" w:w="100"/>
              <w:right w:type="dxa" w:w="120"/>
            </w:tcMar>
          </w:tcPr>
          <w:p>
            <w:r>
              <w:rPr>
                <w:b w:val="false"/>
                <w:bCs w:val="false"/>
                <w:sz w:val="20"/>
                <w:szCs w:val="20"/>
              </w:rPr>
              <w:t xml:space="preserve">0.768</w:t>
            </w:r>
          </w:p>
        </w:tc>
        <w:tc>
          <w:tcPr>
            <w:tcW w:type="dxa" w:w="1600"/>
            <w:tcMar>
              <w:top w:type="dxa" w:w="100"/>
              <w:left w:type="dxa" w:w="120"/>
              <w:bottom w:type="dxa" w:w="100"/>
              <w:right w:type="dxa" w:w="120"/>
            </w:tcMar>
          </w:tcPr>
          <w:p>
            <w:r>
              <w:rPr>
                <w:b w:val="false"/>
                <w:bCs w:val="false"/>
                <w:sz w:val="20"/>
                <w:szCs w:val="20"/>
              </w:rPr>
              <w:t xml:space="preserve">0.037</w:t>
            </w:r>
          </w:p>
        </w:tc>
      </w:tr>
    </w:tbl>
    <w:p>
      <w:pPr>
        <w:spacing w:after="200"/>
      </w:pPr>
    </w:p>
    <w:p>
      <w:pPr>
        <w:spacing w:after="160"/>
      </w:pPr>
      <w:r>
        <w:t xml:space="preserve">The standard deviations are informative on their own: recall's std of 0.073 is the largest, meaning which specific clients land in a given fold noticeably affects how many true subscribers get caught — expected given only ~90 positive examples per fold. This tells us the recall estimate carries real uncertainty and shouldn't be treated as a single precise number.</w:t>
      </w:r>
    </w:p>
    <w:p>
      <w:pPr>
        <w:pStyle w:val="Heading2"/>
        <w:spacing w:after="120" w:before="240"/>
      </w:pPr>
      <w:r>
        <w:t xml:space="preserve">3.2 Stratified Train-Test Split</w:t>
      </w:r>
    </w:p>
    <w:p>
      <w:pPr>
        <w:spacing w:after="160"/>
      </w:pPr>
      <w:r>
        <w:t xml:space="preserve">Beyond cross-validation, the original 80/20 train-test split was also stratified, ensuring the held-out test set's class balance matches the full dataset. This choice was made in Week 2 and validated here: the held-out test recall (0.600) closely matches the cross-validation mean (0.615), indicating the split was representative rather than an unusually easy or hard partition.</w:t>
      </w:r>
    </w:p>
    <w:p>
      <w:pPr>
        <w:pStyle w:val="Heading2"/>
        <w:spacing w:after="120" w:before="240"/>
      </w:pPr>
      <w:r>
        <w:t xml:space="preserve">3.3 Why Not a Plain (Non-Stratified) Split, in This Case</w:t>
      </w:r>
    </w:p>
    <w:p>
      <w:pPr>
        <w:spacing w:after="160"/>
      </w:pPr>
      <w:r>
        <w:t xml:space="preserve">With only 10.9% positive examples, a random (non-stratified) split risks producing a test set with a meaningfully different class ratio than the training set purely by chance, especially at this dataset's moderate size (4,119 rows). Stratification removes that risk entirely, at negligible cost, which is why it was used throughout rather than reserved as an alternative.</w:t>
      </w:r>
    </w:p>
    <w:p>
      <w:pPr>
        <w:pStyle w:val="Heading1"/>
        <w:spacing w:after="160" w:before="360"/>
      </w:pPr>
      <w:r>
        <w:t xml:space="preserve">4. Held-Out Test Set Results</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Accuracy:  0.846      Confusion Matrix:</w:t>
      </w:r>
      <w:r>
        <w:rPr>
          <w:rFonts w:ascii="Consolas" w:cs="Consolas" w:eastAsia="Consolas" w:hAnsi="Consolas"/>
          <w:sz w:val="18"/>
          <w:szCs w:val="18"/>
        </w:rPr>
        <w:br/>
        <w:t xml:space="preserve">Precision: 0.372          [[643  91]</w:t>
      </w:r>
      <w:r>
        <w:rPr>
          <w:rFonts w:ascii="Consolas" w:cs="Consolas" w:eastAsia="Consolas" w:hAnsi="Consolas"/>
          <w:sz w:val="18"/>
          <w:szCs w:val="18"/>
        </w:rPr>
        <w:br/>
        <w:t xml:space="preserve">Recall:    0.600           [ 36  54]]</w:t>
      </w:r>
      <w:r>
        <w:rPr>
          <w:rFonts w:ascii="Consolas" w:cs="Consolas" w:eastAsia="Consolas" w:hAnsi="Consolas"/>
          <w:sz w:val="18"/>
          <w:szCs w:val="18"/>
        </w:rPr>
        <w:br/>
        <w:t xml:space="preserve">F1 Score:  0.460</w:t>
      </w:r>
      <w:r>
        <w:rPr>
          <w:rFonts w:ascii="Consolas" w:cs="Consolas" w:eastAsia="Consolas" w:hAnsi="Consolas"/>
          <w:sz w:val="18"/>
          <w:szCs w:val="18"/>
        </w:rPr>
        <w:br/>
        <w:t xml:space="preserve">ROC-AUC:   0.772</w:t>
      </w:r>
    </w:p>
    <w:p>
      <w:pPr>
        <w:spacing w:after="160"/>
      </w:pPr>
      <w:r>
        <w:t xml:space="preserve">The confusion matrix breaks down to: 643 true negatives, 91 false positives, 36 false negatives, and 54 true positives. The close match between this held-out result and the cross-validation mean is itself a meaningful finding — it indicates the model is not overfit to its particular training split, and its performance should generalize reasonably to new clients.</w:t>
      </w:r>
    </w:p>
    <w:p>
      <w:pPr>
        <w:pStyle w:val="Heading1"/>
        <w:spacing w:after="160" w:before="360"/>
      </w:pPr>
      <w:r>
        <w:t xml:space="preserve">5. Error Analysis</w:t>
      </w:r>
    </w:p>
    <w:p>
      <w:pPr>
        <w:spacing w:after="160"/>
      </w:pPr>
      <w:r>
        <w:t xml:space="preserve">Aggregate metrics describe how often the model is wrong; this section investigates which clients it gets wrong, to check for a pattern rather than assuming the errors are random.</w:t>
      </w:r>
    </w:p>
    <w:p>
      <w:pPr>
        <w:pStyle w:val="Heading2"/>
        <w:spacing w:after="120" w:before="240"/>
      </w:pPr>
      <w:r>
        <w:t xml:space="preserve">5.1 False Negatives: Missed Real Subscribers</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false_negatives['poutcome'].value_counts(normalize=True)</w:t>
      </w:r>
      <w:r>
        <w:rPr>
          <w:rFonts w:ascii="Consolas" w:cs="Consolas" w:eastAsia="Consolas" w:hAnsi="Consolas"/>
          <w:sz w:val="18"/>
          <w:szCs w:val="18"/>
        </w:rPr>
        <w:br/>
        <w:t xml:space="preserve"># nonexistent: 0.89   failure: 0.11</w:t>
      </w:r>
      <w:r>
        <w:rPr>
          <w:rFonts w:ascii="Consolas" w:cs="Consolas" w:eastAsia="Consolas" w:hAnsi="Consolas"/>
          <w:sz w:val="18"/>
          <w:szCs w:val="18"/>
        </w:rPr>
        <w:br/>
        <w:t xml:space="preserve"/>
      </w:r>
      <w:r>
        <w:rPr>
          <w:rFonts w:ascii="Consolas" w:cs="Consolas" w:eastAsia="Consolas" w:hAnsi="Consolas"/>
          <w:sz w:val="18"/>
          <w:szCs w:val="18"/>
        </w:rPr>
        <w:br/>
        <w:t xml:space="preserve">true_positives['poutcome'].value_counts(normalize=True)</w:t>
      </w:r>
      <w:r>
        <w:rPr>
          <w:rFonts w:ascii="Consolas" w:cs="Consolas" w:eastAsia="Consolas" w:hAnsi="Consolas"/>
          <w:sz w:val="18"/>
          <w:szCs w:val="18"/>
        </w:rPr>
        <w:br/>
        <w:t xml:space="preserve"># nonexistent: 0.59   success: 0.31   failure: 0.09</w:t>
      </w:r>
    </w:p>
    <w:p>
      <w:pPr>
        <w:spacing w:after="160"/>
      </w:pPr>
      <w:r>
        <w:t xml:space="preserve">89% of missed subscribers had no prior campaign contact (poutcome = "nonexistent"), compared to only 59% of correctly identified subscribers. This reveals a genuine limitation: the model leans heavily on a client's prior campaign history as a signal for predicting "yes." It is comparatively strong at re-identifying past responders but weaker at discovering new prospects with no track record — an important caveat for how a bank would actually deploy this model.</w:t>
      </w:r>
    </w:p>
    <w:p>
      <w:pPr>
        <w:pStyle w:val="Heading2"/>
        <w:spacing w:after="120" w:before="240"/>
      </w:pPr>
      <w:r>
        <w:t xml:space="preserve">5.2 Three Concrete Worked Examples</w:t>
      </w:r>
    </w:p>
    <w:p>
      <w:pPr>
        <w:spacing w:after="160"/>
      </w:pPr>
      <w:r>
        <w:t xml:space="preserve">To make this analysis tangible rather than purely statistical, three specific test-set clients are examined individually below — one of each outcome type.</w:t>
      </w:r>
    </w:p>
    <w:p>
      <w:pPr>
        <w:spacing w:after="160"/>
      </w:pPr>
      <w:r>
        <w:rPr>
          <w:b/>
          <w:bCs/>
        </w:rPr>
        <w:t xml:space="preserve">False Negative (missed subscriber): </w:t>
      </w:r>
      <w:r>
        <w:t xml:space="preserve">Age 52, blue-collar, married, education basic.9y, poutcome="nonexistent", contacted once this campaign (campaign=1), never contacted previously. The model assigned this client a predicted probability of only 0.297 of subscribing — below the 0.5 threshold, so predicted "no" — yet they actually subscribed. Every visible signal here looks like a typical non-subscriber profile (older blue-collar client, no prior contact history), which is precisely why the model was fooled: there was no strong feature pushing toward "yes" for this individual, even though the outcome was "yes." This is a case the model could not reasonably have been expected to catch from these features alone.</w:t>
      </w:r>
    </w:p>
    <w:p>
      <w:pPr>
        <w:spacing w:after="160"/>
      </w:pPr>
      <w:r>
        <w:rPr>
          <w:b/>
          <w:bCs/>
        </w:rPr>
        <w:t xml:space="preserve">False Positive (false alarm): </w:t>
      </w:r>
      <w:r>
        <w:t xml:space="preserve">Age 37, blue-collar, married, education basic.9y, poutcome="nonexistent", contacted once this campaign. Predicted probability was 0.503 — barely crossing the 0.5 threshold into "yes." This example is almost a coin flip for the model, and illustrates that many of this model's false positives are not confident, badly wrong predictions, but borderline cases sitting right at the decision boundary.</w:t>
      </w:r>
    </w:p>
    <w:p>
      <w:pPr>
        <w:spacing w:after="160"/>
      </w:pPr>
      <w:r>
        <w:rPr>
          <w:b/>
          <w:bCs/>
        </w:rPr>
        <w:t xml:space="preserve">True Positive (correctly caught): </w:t>
      </w:r>
      <w:r>
        <w:t xml:space="preserve">Age 37, management, married, education unknown, poutcome="nonexistent", contacted three times this campaign (campaign=3). Predicted probability was 0.868 — a confident, correct "yes." Notably, this client also had no prior campaign history (poutcome="nonexistent"), showing the model is not solely dependent on poutcome — a management job title combined with three contacts this campaign was enough signal on its own, even without a prior-success flag.</w:t>
      </w:r>
    </w:p>
    <w:p>
      <w:pPr>
        <w:spacing w:after="160"/>
      </w:pPr>
      <w:r>
        <w:t xml:space="preserve">Comparing the false negative and false positive examples side by side is particularly instructive: both are blue-collar, married, basic.9y-educated clients contacted once, with no prior history — nearly identical on the features the model has access to, yet one subscribed and one didn't. This pair is strong evidence that the available features have a real ceiling on how separable these two outcomes are; no amount of tuning this same feature set will fully resolve cases this similar on paper but different in reality.</w:t>
      </w:r>
    </w:p>
    <w:p>
      <w:pPr>
        <w:pStyle w:val="Heading2"/>
        <w:spacing w:after="120" w:before="240"/>
      </w:pPr>
      <w:r>
        <w:t xml:space="preserve">5.3 Decision Threshold Sensitivity (Worked Analysis)</w:t>
      </w:r>
    </w:p>
    <w:p>
      <w:pPr>
        <w:spacing w:after="160"/>
      </w:pPr>
      <w:r>
        <w:t xml:space="preserve">The default 0.5 probability threshold is a convention, not a requirement — shifting it directly trades precision against recall. The table below re-derives the confusion matrix at five different thresholds on the same held-out test set, to make this trade-off concrete rather than theoretical.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1200"/>
        <w:gridCol w:w="1200"/>
        <w:gridCol w:w="1200"/>
        <w:gridCol w:w="1200"/>
      </w:tblGrid>
      <w:tr>
        <w:trPr>
          <w:tblHeader/>
        </w:trPr>
        <w:tc>
          <w:tcPr>
            <w:tcW w:type="dxa" w:w="1600"/>
            <w:shd w:fill="1F3864" w:val="clear"/>
            <w:tcMar>
              <w:top w:type="dxa" w:w="100"/>
              <w:left w:type="dxa" w:w="120"/>
              <w:bottom w:type="dxa" w:w="100"/>
              <w:right w:type="dxa" w:w="120"/>
            </w:tcMar>
          </w:tcPr>
          <w:p>
            <w:r>
              <w:rPr>
                <w:b/>
                <w:bCs/>
                <w:color w:val="FFFFFF"/>
                <w:sz w:val="20"/>
                <w:szCs w:val="20"/>
              </w:rPr>
              <w:t xml:space="preserve">Threshold</w:t>
            </w:r>
          </w:p>
        </w:tc>
        <w:tc>
          <w:tcPr>
            <w:tcW w:type="dxa" w:w="1600"/>
            <w:shd w:fill="1F3864" w:val="clear"/>
            <w:tcMar>
              <w:top w:type="dxa" w:w="100"/>
              <w:left w:type="dxa" w:w="120"/>
              <w:bottom w:type="dxa" w:w="100"/>
              <w:right w:type="dxa" w:w="120"/>
            </w:tcMar>
          </w:tcPr>
          <w:p>
            <w:r>
              <w:rPr>
                <w:b/>
                <w:bCs/>
                <w:color w:val="FFFFFF"/>
                <w:sz w:val="20"/>
                <w:szCs w:val="20"/>
              </w:rPr>
              <w:t xml:space="preserve">Precision</w:t>
            </w:r>
          </w:p>
        </w:tc>
        <w:tc>
          <w:tcPr>
            <w:tcW w:type="dxa" w:w="1400"/>
            <w:shd w:fill="1F3864" w:val="clear"/>
            <w:tcMar>
              <w:top w:type="dxa" w:w="100"/>
              <w:left w:type="dxa" w:w="120"/>
              <w:bottom w:type="dxa" w:w="100"/>
              <w:right w:type="dxa" w:w="120"/>
            </w:tcMar>
          </w:tcPr>
          <w:p>
            <w:r>
              <w:rPr>
                <w:b/>
                <w:bCs/>
                <w:color w:val="FFFFFF"/>
                <w:sz w:val="20"/>
                <w:szCs w:val="20"/>
              </w:rPr>
              <w:t xml:space="preserve">Recall</w:t>
            </w:r>
          </w:p>
        </w:tc>
        <w:tc>
          <w:tcPr>
            <w:tcW w:type="dxa" w:w="1200"/>
            <w:shd w:fill="1F3864" w:val="clear"/>
            <w:tcMar>
              <w:top w:type="dxa" w:w="100"/>
              <w:left w:type="dxa" w:w="120"/>
              <w:bottom w:type="dxa" w:w="100"/>
              <w:right w:type="dxa" w:w="120"/>
            </w:tcMar>
          </w:tcPr>
          <w:p>
            <w:r>
              <w:rPr>
                <w:b/>
                <w:bCs/>
                <w:color w:val="FFFFFF"/>
                <w:sz w:val="20"/>
                <w:szCs w:val="20"/>
              </w:rPr>
              <w:t xml:space="preserve">F1</w:t>
            </w:r>
          </w:p>
        </w:tc>
        <w:tc>
          <w:tcPr>
            <w:tcW w:type="dxa" w:w="1200"/>
            <w:shd w:fill="1F3864" w:val="clear"/>
            <w:tcMar>
              <w:top w:type="dxa" w:w="100"/>
              <w:left w:type="dxa" w:w="120"/>
              <w:bottom w:type="dxa" w:w="100"/>
              <w:right w:type="dxa" w:w="120"/>
            </w:tcMar>
          </w:tcPr>
          <w:p>
            <w:r>
              <w:rPr>
                <w:b/>
                <w:bCs/>
                <w:color w:val="FFFFFF"/>
                <w:sz w:val="20"/>
                <w:szCs w:val="20"/>
              </w:rPr>
              <w:t xml:space="preserve">TP</w:t>
            </w:r>
          </w:p>
        </w:tc>
        <w:tc>
          <w:tcPr>
            <w:tcW w:type="dxa" w:w="1200"/>
            <w:shd w:fill="1F3864" w:val="clear"/>
            <w:tcMar>
              <w:top w:type="dxa" w:w="100"/>
              <w:left w:type="dxa" w:w="120"/>
              <w:bottom w:type="dxa" w:w="100"/>
              <w:right w:type="dxa" w:w="120"/>
            </w:tcMar>
          </w:tcPr>
          <w:p>
            <w:r>
              <w:rPr>
                <w:b/>
                <w:bCs/>
                <w:color w:val="FFFFFF"/>
                <w:sz w:val="20"/>
                <w:szCs w:val="20"/>
              </w:rPr>
              <w:t xml:space="preserve">FP</w:t>
            </w:r>
          </w:p>
        </w:tc>
        <w:tc>
          <w:tcPr>
            <w:tcW w:type="dxa" w:w="1200"/>
            <w:shd w:fill="1F3864" w:val="clear"/>
            <w:tcMar>
              <w:top w:type="dxa" w:w="100"/>
              <w:left w:type="dxa" w:w="120"/>
              <w:bottom w:type="dxa" w:w="100"/>
              <w:right w:type="dxa" w:w="120"/>
            </w:tcMar>
          </w:tcPr>
          <w:p>
            <w:r>
              <w:rPr>
                <w:b/>
                <w:bCs/>
                <w:color w:val="FFFFFF"/>
                <w:sz w:val="20"/>
                <w:szCs w:val="20"/>
              </w:rPr>
              <w:t xml:space="preserve">FN</w:t>
            </w:r>
          </w:p>
        </w:tc>
      </w:tr>
      <w:tr>
        <w:tc>
          <w:tcPr>
            <w:tcW w:type="dxa" w:w="1600"/>
            <w:tcMar>
              <w:top w:type="dxa" w:w="100"/>
              <w:left w:type="dxa" w:w="120"/>
              <w:bottom w:type="dxa" w:w="100"/>
              <w:right w:type="dxa" w:w="120"/>
            </w:tcMar>
          </w:tcPr>
          <w:p>
            <w:r>
              <w:rPr>
                <w:b w:val="false"/>
                <w:bCs w:val="false"/>
                <w:sz w:val="20"/>
                <w:szCs w:val="20"/>
              </w:rPr>
              <w:t xml:space="preserve">0.3</w:t>
            </w:r>
          </w:p>
        </w:tc>
        <w:tc>
          <w:tcPr>
            <w:tcW w:type="dxa" w:w="1600"/>
            <w:tcMar>
              <w:top w:type="dxa" w:w="100"/>
              <w:left w:type="dxa" w:w="120"/>
              <w:bottom w:type="dxa" w:w="100"/>
              <w:right w:type="dxa" w:w="120"/>
            </w:tcMar>
          </w:tcPr>
          <w:p>
            <w:r>
              <w:rPr>
                <w:b w:val="false"/>
                <w:bCs w:val="false"/>
                <w:sz w:val="20"/>
                <w:szCs w:val="20"/>
              </w:rPr>
              <w:t xml:space="preserve">0.154</w:t>
            </w:r>
          </w:p>
        </w:tc>
        <w:tc>
          <w:tcPr>
            <w:tcW w:type="dxa" w:w="1400"/>
            <w:tcMar>
              <w:top w:type="dxa" w:w="100"/>
              <w:left w:type="dxa" w:w="120"/>
              <w:bottom w:type="dxa" w:w="100"/>
              <w:right w:type="dxa" w:w="120"/>
            </w:tcMar>
          </w:tcPr>
          <w:p>
            <w:r>
              <w:rPr>
                <w:b w:val="false"/>
                <w:bCs w:val="false"/>
                <w:sz w:val="20"/>
                <w:szCs w:val="20"/>
              </w:rPr>
              <w:t xml:space="preserve">0.833</w:t>
            </w:r>
          </w:p>
        </w:tc>
        <w:tc>
          <w:tcPr>
            <w:tcW w:type="dxa" w:w="1200"/>
            <w:tcMar>
              <w:top w:type="dxa" w:w="100"/>
              <w:left w:type="dxa" w:w="120"/>
              <w:bottom w:type="dxa" w:w="100"/>
              <w:right w:type="dxa" w:w="120"/>
            </w:tcMar>
          </w:tcPr>
          <w:p>
            <w:r>
              <w:rPr>
                <w:b w:val="false"/>
                <w:bCs w:val="false"/>
                <w:sz w:val="20"/>
                <w:szCs w:val="20"/>
              </w:rPr>
              <w:t xml:space="preserve">0.260</w:t>
            </w:r>
          </w:p>
        </w:tc>
        <w:tc>
          <w:tcPr>
            <w:tcW w:type="dxa" w:w="1200"/>
            <w:tcMar>
              <w:top w:type="dxa" w:w="100"/>
              <w:left w:type="dxa" w:w="120"/>
              <w:bottom w:type="dxa" w:w="100"/>
              <w:right w:type="dxa" w:w="120"/>
            </w:tcMar>
          </w:tcPr>
          <w:p>
            <w:r>
              <w:rPr>
                <w:b w:val="false"/>
                <w:bCs w:val="false"/>
                <w:sz w:val="20"/>
                <w:szCs w:val="20"/>
              </w:rPr>
              <w:t xml:space="preserve">75</w:t>
            </w:r>
          </w:p>
        </w:tc>
        <w:tc>
          <w:tcPr>
            <w:tcW w:type="dxa" w:w="1200"/>
            <w:tcMar>
              <w:top w:type="dxa" w:w="100"/>
              <w:left w:type="dxa" w:w="120"/>
              <w:bottom w:type="dxa" w:w="100"/>
              <w:right w:type="dxa" w:w="120"/>
            </w:tcMar>
          </w:tcPr>
          <w:p>
            <w:r>
              <w:rPr>
                <w:b w:val="false"/>
                <w:bCs w:val="false"/>
                <w:sz w:val="20"/>
                <w:szCs w:val="20"/>
              </w:rPr>
              <w:t xml:space="preserve">413</w:t>
            </w:r>
          </w:p>
        </w:tc>
        <w:tc>
          <w:tcPr>
            <w:tcW w:type="dxa" w:w="1200"/>
            <w:tcMar>
              <w:top w:type="dxa" w:w="100"/>
              <w:left w:type="dxa" w:w="120"/>
              <w:bottom w:type="dxa" w:w="100"/>
              <w:right w:type="dxa" w:w="120"/>
            </w:tcMar>
          </w:tcPr>
          <w:p>
            <w:r>
              <w:rPr>
                <w:b w:val="false"/>
                <w:bCs w:val="false"/>
                <w:sz w:val="20"/>
                <w:szCs w:val="20"/>
              </w:rPr>
              <w:t xml:space="preserve">15</w:t>
            </w:r>
          </w:p>
        </w:tc>
      </w:tr>
      <w:tr>
        <w:tc>
          <w:tcPr>
            <w:tcW w:type="dxa" w:w="1600"/>
            <w:tcMar>
              <w:top w:type="dxa" w:w="100"/>
              <w:left w:type="dxa" w:w="120"/>
              <w:bottom w:type="dxa" w:w="100"/>
              <w:right w:type="dxa" w:w="120"/>
            </w:tcMar>
          </w:tcPr>
          <w:p>
            <w:r>
              <w:rPr>
                <w:b w:val="false"/>
                <w:bCs w:val="false"/>
                <w:sz w:val="20"/>
                <w:szCs w:val="20"/>
              </w:rPr>
              <w:t xml:space="preserve">0.4</w:t>
            </w:r>
          </w:p>
        </w:tc>
        <w:tc>
          <w:tcPr>
            <w:tcW w:type="dxa" w:w="1600"/>
            <w:tcMar>
              <w:top w:type="dxa" w:w="100"/>
              <w:left w:type="dxa" w:w="120"/>
              <w:bottom w:type="dxa" w:w="100"/>
              <w:right w:type="dxa" w:w="120"/>
            </w:tcMar>
          </w:tcPr>
          <w:p>
            <w:r>
              <w:rPr>
                <w:b w:val="false"/>
                <w:bCs w:val="false"/>
                <w:sz w:val="20"/>
                <w:szCs w:val="20"/>
              </w:rPr>
              <w:t xml:space="preserve">0.219</w:t>
            </w:r>
          </w:p>
        </w:tc>
        <w:tc>
          <w:tcPr>
            <w:tcW w:type="dxa" w:w="1400"/>
            <w:tcMar>
              <w:top w:type="dxa" w:w="100"/>
              <w:left w:type="dxa" w:w="120"/>
              <w:bottom w:type="dxa" w:w="100"/>
              <w:right w:type="dxa" w:w="120"/>
            </w:tcMar>
          </w:tcPr>
          <w:p>
            <w:r>
              <w:rPr>
                <w:b w:val="false"/>
                <w:bCs w:val="false"/>
                <w:sz w:val="20"/>
                <w:szCs w:val="20"/>
              </w:rPr>
              <w:t xml:space="preserve">0.667</w:t>
            </w:r>
          </w:p>
        </w:tc>
        <w:tc>
          <w:tcPr>
            <w:tcW w:type="dxa" w:w="1200"/>
            <w:tcMar>
              <w:top w:type="dxa" w:w="100"/>
              <w:left w:type="dxa" w:w="120"/>
              <w:bottom w:type="dxa" w:w="100"/>
              <w:right w:type="dxa" w:w="120"/>
            </w:tcMar>
          </w:tcPr>
          <w:p>
            <w:r>
              <w:rPr>
                <w:b w:val="false"/>
                <w:bCs w:val="false"/>
                <w:sz w:val="20"/>
                <w:szCs w:val="20"/>
              </w:rPr>
              <w:t xml:space="preserve">0.330</w:t>
            </w:r>
          </w:p>
        </w:tc>
        <w:tc>
          <w:tcPr>
            <w:tcW w:type="dxa" w:w="1200"/>
            <w:tcMar>
              <w:top w:type="dxa" w:w="100"/>
              <w:left w:type="dxa" w:w="120"/>
              <w:bottom w:type="dxa" w:w="100"/>
              <w:right w:type="dxa" w:w="120"/>
            </w:tcMar>
          </w:tcPr>
          <w:p>
            <w:r>
              <w:rPr>
                <w:b w:val="false"/>
                <w:bCs w:val="false"/>
                <w:sz w:val="20"/>
                <w:szCs w:val="20"/>
              </w:rPr>
              <w:t xml:space="preserve">60</w:t>
            </w:r>
          </w:p>
        </w:tc>
        <w:tc>
          <w:tcPr>
            <w:tcW w:type="dxa" w:w="1200"/>
            <w:tcMar>
              <w:top w:type="dxa" w:w="100"/>
              <w:left w:type="dxa" w:w="120"/>
              <w:bottom w:type="dxa" w:w="100"/>
              <w:right w:type="dxa" w:w="120"/>
            </w:tcMar>
          </w:tcPr>
          <w:p>
            <w:r>
              <w:rPr>
                <w:b w:val="false"/>
                <w:bCs w:val="false"/>
                <w:sz w:val="20"/>
                <w:szCs w:val="20"/>
              </w:rPr>
              <w:t xml:space="preserve">214</w:t>
            </w:r>
          </w:p>
        </w:tc>
        <w:tc>
          <w:tcPr>
            <w:tcW w:type="dxa" w:w="1200"/>
            <w:tcMar>
              <w:top w:type="dxa" w:w="100"/>
              <w:left w:type="dxa" w:w="120"/>
              <w:bottom w:type="dxa" w:w="100"/>
              <w:right w:type="dxa" w:w="120"/>
            </w:tcMar>
          </w:tcPr>
          <w:p>
            <w:r>
              <w:rPr>
                <w:b w:val="false"/>
                <w:bCs w:val="false"/>
                <w:sz w:val="20"/>
                <w:szCs w:val="20"/>
              </w:rPr>
              <w:t xml:space="preserve">30</w:t>
            </w:r>
          </w:p>
        </w:tc>
      </w:tr>
      <w:tr>
        <w:tc>
          <w:tcPr>
            <w:tcW w:type="dxa" w:w="1600"/>
            <w:tcMar>
              <w:top w:type="dxa" w:w="100"/>
              <w:left w:type="dxa" w:w="120"/>
              <w:bottom w:type="dxa" w:w="100"/>
              <w:right w:type="dxa" w:w="120"/>
            </w:tcMar>
          </w:tcPr>
          <w:p>
            <w:r>
              <w:rPr>
                <w:b w:val="false"/>
                <w:bCs w:val="false"/>
                <w:sz w:val="20"/>
                <w:szCs w:val="20"/>
              </w:rPr>
              <w:t xml:space="preserve">0.5 (default)</w:t>
            </w:r>
          </w:p>
        </w:tc>
        <w:tc>
          <w:tcPr>
            <w:tcW w:type="dxa" w:w="1600"/>
            <w:tcMar>
              <w:top w:type="dxa" w:w="100"/>
              <w:left w:type="dxa" w:w="120"/>
              <w:bottom w:type="dxa" w:w="100"/>
              <w:right w:type="dxa" w:w="120"/>
            </w:tcMar>
          </w:tcPr>
          <w:p>
            <w:r>
              <w:rPr>
                <w:b w:val="false"/>
                <w:bCs w:val="false"/>
                <w:sz w:val="20"/>
                <w:szCs w:val="20"/>
              </w:rPr>
              <w:t xml:space="preserve">0.372</w:t>
            </w:r>
          </w:p>
        </w:tc>
        <w:tc>
          <w:tcPr>
            <w:tcW w:type="dxa" w:w="1400"/>
            <w:tcMar>
              <w:top w:type="dxa" w:w="100"/>
              <w:left w:type="dxa" w:w="120"/>
              <w:bottom w:type="dxa" w:w="100"/>
              <w:right w:type="dxa" w:w="120"/>
            </w:tcMar>
          </w:tcPr>
          <w:p>
            <w:r>
              <w:rPr>
                <w:b w:val="false"/>
                <w:bCs w:val="false"/>
                <w:sz w:val="20"/>
                <w:szCs w:val="20"/>
              </w:rPr>
              <w:t xml:space="preserve">0.600</w:t>
            </w:r>
          </w:p>
        </w:tc>
        <w:tc>
          <w:tcPr>
            <w:tcW w:type="dxa" w:w="1200"/>
            <w:tcMar>
              <w:top w:type="dxa" w:w="100"/>
              <w:left w:type="dxa" w:w="120"/>
              <w:bottom w:type="dxa" w:w="100"/>
              <w:right w:type="dxa" w:w="120"/>
            </w:tcMar>
          </w:tcPr>
          <w:p>
            <w:r>
              <w:rPr>
                <w:b w:val="false"/>
                <w:bCs w:val="false"/>
                <w:sz w:val="20"/>
                <w:szCs w:val="20"/>
              </w:rPr>
              <w:t xml:space="preserve">0.460</w:t>
            </w:r>
          </w:p>
        </w:tc>
        <w:tc>
          <w:tcPr>
            <w:tcW w:type="dxa" w:w="1200"/>
            <w:tcMar>
              <w:top w:type="dxa" w:w="100"/>
              <w:left w:type="dxa" w:w="120"/>
              <w:bottom w:type="dxa" w:w="100"/>
              <w:right w:type="dxa" w:w="120"/>
            </w:tcMar>
          </w:tcPr>
          <w:p>
            <w:r>
              <w:rPr>
                <w:b w:val="false"/>
                <w:bCs w:val="false"/>
                <w:sz w:val="20"/>
                <w:szCs w:val="20"/>
              </w:rPr>
              <w:t xml:space="preserve">54</w:t>
            </w:r>
          </w:p>
        </w:tc>
        <w:tc>
          <w:tcPr>
            <w:tcW w:type="dxa" w:w="1200"/>
            <w:tcMar>
              <w:top w:type="dxa" w:w="100"/>
              <w:left w:type="dxa" w:w="120"/>
              <w:bottom w:type="dxa" w:w="100"/>
              <w:right w:type="dxa" w:w="120"/>
            </w:tcMar>
          </w:tcPr>
          <w:p>
            <w:r>
              <w:rPr>
                <w:b w:val="false"/>
                <w:bCs w:val="false"/>
                <w:sz w:val="20"/>
                <w:szCs w:val="20"/>
              </w:rPr>
              <w:t xml:space="preserve">91</w:t>
            </w:r>
          </w:p>
        </w:tc>
        <w:tc>
          <w:tcPr>
            <w:tcW w:type="dxa" w:w="1200"/>
            <w:tcMar>
              <w:top w:type="dxa" w:w="100"/>
              <w:left w:type="dxa" w:w="120"/>
              <w:bottom w:type="dxa" w:w="100"/>
              <w:right w:type="dxa" w:w="120"/>
            </w:tcMar>
          </w:tcPr>
          <w:p>
            <w:r>
              <w:rPr>
                <w:b w:val="false"/>
                <w:bCs w:val="false"/>
                <w:sz w:val="20"/>
                <w:szCs w:val="20"/>
              </w:rPr>
              <w:t xml:space="preserve">36</w:t>
            </w:r>
          </w:p>
        </w:tc>
      </w:tr>
      <w:tr>
        <w:tc>
          <w:tcPr>
            <w:tcW w:type="dxa" w:w="1600"/>
            <w:tcMar>
              <w:top w:type="dxa" w:w="100"/>
              <w:left w:type="dxa" w:w="120"/>
              <w:bottom w:type="dxa" w:w="100"/>
              <w:right w:type="dxa" w:w="120"/>
            </w:tcMar>
          </w:tcPr>
          <w:p>
            <w:r>
              <w:rPr>
                <w:b w:val="false"/>
                <w:bCs w:val="false"/>
                <w:sz w:val="20"/>
                <w:szCs w:val="20"/>
              </w:rPr>
              <w:t xml:space="preserve">0.6</w:t>
            </w:r>
          </w:p>
        </w:tc>
        <w:tc>
          <w:tcPr>
            <w:tcW w:type="dxa" w:w="1600"/>
            <w:tcMar>
              <w:top w:type="dxa" w:w="100"/>
              <w:left w:type="dxa" w:w="120"/>
              <w:bottom w:type="dxa" w:w="100"/>
              <w:right w:type="dxa" w:w="120"/>
            </w:tcMar>
          </w:tcPr>
          <w:p>
            <w:r>
              <w:rPr>
                <w:b w:val="false"/>
                <w:bCs w:val="false"/>
                <w:sz w:val="20"/>
                <w:szCs w:val="20"/>
              </w:rPr>
              <w:t xml:space="preserve">0.446</w:t>
            </w:r>
          </w:p>
        </w:tc>
        <w:tc>
          <w:tcPr>
            <w:tcW w:type="dxa" w:w="1400"/>
            <w:tcMar>
              <w:top w:type="dxa" w:w="100"/>
              <w:left w:type="dxa" w:w="120"/>
              <w:bottom w:type="dxa" w:w="100"/>
              <w:right w:type="dxa" w:w="120"/>
            </w:tcMar>
          </w:tcPr>
          <w:p>
            <w:r>
              <w:rPr>
                <w:b w:val="false"/>
                <w:bCs w:val="false"/>
                <w:sz w:val="20"/>
                <w:szCs w:val="20"/>
              </w:rPr>
              <w:t xml:space="preserve">0.500</w:t>
            </w:r>
          </w:p>
        </w:tc>
        <w:tc>
          <w:tcPr>
            <w:tcW w:type="dxa" w:w="1200"/>
            <w:tcMar>
              <w:top w:type="dxa" w:w="100"/>
              <w:left w:type="dxa" w:w="120"/>
              <w:bottom w:type="dxa" w:w="100"/>
              <w:right w:type="dxa" w:w="120"/>
            </w:tcMar>
          </w:tcPr>
          <w:p>
            <w:r>
              <w:rPr>
                <w:b w:val="false"/>
                <w:bCs w:val="false"/>
                <w:sz w:val="20"/>
                <w:szCs w:val="20"/>
              </w:rPr>
              <w:t xml:space="preserve">0.471</w:t>
            </w:r>
          </w:p>
        </w:tc>
        <w:tc>
          <w:tcPr>
            <w:tcW w:type="dxa" w:w="1200"/>
            <w:tcMar>
              <w:top w:type="dxa" w:w="100"/>
              <w:left w:type="dxa" w:w="120"/>
              <w:bottom w:type="dxa" w:w="100"/>
              <w:right w:type="dxa" w:w="120"/>
            </w:tcMar>
          </w:tcPr>
          <w:p>
            <w:r>
              <w:rPr>
                <w:b w:val="false"/>
                <w:bCs w:val="false"/>
                <w:sz w:val="20"/>
                <w:szCs w:val="20"/>
              </w:rPr>
              <w:t xml:space="preserve">45</w:t>
            </w:r>
          </w:p>
        </w:tc>
        <w:tc>
          <w:tcPr>
            <w:tcW w:type="dxa" w:w="1200"/>
            <w:tcMar>
              <w:top w:type="dxa" w:w="100"/>
              <w:left w:type="dxa" w:w="120"/>
              <w:bottom w:type="dxa" w:w="100"/>
              <w:right w:type="dxa" w:w="120"/>
            </w:tcMar>
          </w:tcPr>
          <w:p>
            <w:r>
              <w:rPr>
                <w:b w:val="false"/>
                <w:bCs w:val="false"/>
                <w:sz w:val="20"/>
                <w:szCs w:val="20"/>
              </w:rPr>
              <w:t xml:space="preserve">56</w:t>
            </w:r>
          </w:p>
        </w:tc>
        <w:tc>
          <w:tcPr>
            <w:tcW w:type="dxa" w:w="1200"/>
            <w:tcMar>
              <w:top w:type="dxa" w:w="100"/>
              <w:left w:type="dxa" w:w="120"/>
              <w:bottom w:type="dxa" w:w="100"/>
              <w:right w:type="dxa" w:w="120"/>
            </w:tcMar>
          </w:tcPr>
          <w:p>
            <w:r>
              <w:rPr>
                <w:b w:val="false"/>
                <w:bCs w:val="false"/>
                <w:sz w:val="20"/>
                <w:szCs w:val="20"/>
              </w:rPr>
              <w:t xml:space="preserve">45</w:t>
            </w:r>
          </w:p>
        </w:tc>
      </w:tr>
      <w:tr>
        <w:tc>
          <w:tcPr>
            <w:tcW w:type="dxa" w:w="1600"/>
            <w:tcMar>
              <w:top w:type="dxa" w:w="100"/>
              <w:left w:type="dxa" w:w="120"/>
              <w:bottom w:type="dxa" w:w="100"/>
              <w:right w:type="dxa" w:w="120"/>
            </w:tcMar>
          </w:tcPr>
          <w:p>
            <w:r>
              <w:rPr>
                <w:b w:val="false"/>
                <w:bCs w:val="false"/>
                <w:sz w:val="20"/>
                <w:szCs w:val="20"/>
              </w:rPr>
              <w:t xml:space="preserve">0.7</w:t>
            </w:r>
          </w:p>
        </w:tc>
        <w:tc>
          <w:tcPr>
            <w:tcW w:type="dxa" w:w="1600"/>
            <w:tcMar>
              <w:top w:type="dxa" w:w="100"/>
              <w:left w:type="dxa" w:w="120"/>
              <w:bottom w:type="dxa" w:w="100"/>
              <w:right w:type="dxa" w:w="120"/>
            </w:tcMar>
          </w:tcPr>
          <w:p>
            <w:r>
              <w:rPr>
                <w:b w:val="false"/>
                <w:bCs w:val="false"/>
                <w:sz w:val="20"/>
                <w:szCs w:val="20"/>
              </w:rPr>
              <w:t xml:space="preserve">0.519</w:t>
            </w:r>
          </w:p>
        </w:tc>
        <w:tc>
          <w:tcPr>
            <w:tcW w:type="dxa" w:w="1400"/>
            <w:tcMar>
              <w:top w:type="dxa" w:w="100"/>
              <w:left w:type="dxa" w:w="120"/>
              <w:bottom w:type="dxa" w:w="100"/>
              <w:right w:type="dxa" w:w="120"/>
            </w:tcMar>
          </w:tcPr>
          <w:p>
            <w:r>
              <w:rPr>
                <w:b w:val="false"/>
                <w:bCs w:val="false"/>
                <w:sz w:val="20"/>
                <w:szCs w:val="20"/>
              </w:rPr>
              <w:t xml:space="preserve">0.456</w:t>
            </w:r>
          </w:p>
        </w:tc>
        <w:tc>
          <w:tcPr>
            <w:tcW w:type="dxa" w:w="1200"/>
            <w:tcMar>
              <w:top w:type="dxa" w:w="100"/>
              <w:left w:type="dxa" w:w="120"/>
              <w:bottom w:type="dxa" w:w="100"/>
              <w:right w:type="dxa" w:w="120"/>
            </w:tcMar>
          </w:tcPr>
          <w:p>
            <w:r>
              <w:rPr>
                <w:b w:val="false"/>
                <w:bCs w:val="false"/>
                <w:sz w:val="20"/>
                <w:szCs w:val="20"/>
              </w:rPr>
              <w:t xml:space="preserve">0.485</w:t>
            </w:r>
          </w:p>
        </w:tc>
        <w:tc>
          <w:tcPr>
            <w:tcW w:type="dxa" w:w="1200"/>
            <w:tcMar>
              <w:top w:type="dxa" w:w="100"/>
              <w:left w:type="dxa" w:w="120"/>
              <w:bottom w:type="dxa" w:w="100"/>
              <w:right w:type="dxa" w:w="120"/>
            </w:tcMar>
          </w:tcPr>
          <w:p>
            <w:r>
              <w:rPr>
                <w:b w:val="false"/>
                <w:bCs w:val="false"/>
                <w:sz w:val="20"/>
                <w:szCs w:val="20"/>
              </w:rPr>
              <w:t xml:space="preserve">41</w:t>
            </w:r>
          </w:p>
        </w:tc>
        <w:tc>
          <w:tcPr>
            <w:tcW w:type="dxa" w:w="1200"/>
            <w:tcMar>
              <w:top w:type="dxa" w:w="100"/>
              <w:left w:type="dxa" w:w="120"/>
              <w:bottom w:type="dxa" w:w="100"/>
              <w:right w:type="dxa" w:w="120"/>
            </w:tcMar>
          </w:tcPr>
          <w:p>
            <w:r>
              <w:rPr>
                <w:b w:val="false"/>
                <w:bCs w:val="false"/>
                <w:sz w:val="20"/>
                <w:szCs w:val="20"/>
              </w:rPr>
              <w:t xml:space="preserve">38</w:t>
            </w:r>
          </w:p>
        </w:tc>
        <w:tc>
          <w:tcPr>
            <w:tcW w:type="dxa" w:w="1200"/>
            <w:tcMar>
              <w:top w:type="dxa" w:w="100"/>
              <w:left w:type="dxa" w:w="120"/>
              <w:bottom w:type="dxa" w:w="100"/>
              <w:right w:type="dxa" w:w="120"/>
            </w:tcMar>
          </w:tcPr>
          <w:p>
            <w:r>
              <w:rPr>
                <w:b w:val="false"/>
                <w:bCs w:val="false"/>
                <w:sz w:val="20"/>
                <w:szCs w:val="20"/>
              </w:rPr>
              <w:t xml:space="preserve">49</w:t>
            </w:r>
          </w:p>
        </w:tc>
      </w:tr>
    </w:tbl>
    <w:p>
      <w:pPr>
        <w:spacing w:after="200"/>
      </w:pPr>
    </w:p>
    <w:p>
      <w:pPr>
        <w:spacing w:after="160"/>
      </w:pPr>
      <w:r>
        <w:t xml:space="preserve">This sweep quantifies the trade-off precisely: lowering the threshold to 0.3 would catch 75 of the 90 true subscribers (recall 0.833) but at the cost of 413 false alarms — nearly 5 false alarms for every real catch. Raising it to 0.7 sharply improves precision (0.519) but recall drops to 0.456, missing more than half of genuine subscribers. The current default of 0.5 is a reasonable middle ground, but the "correct" threshold genuinely depends on the bank's real cost trade-off between an agent's time (false positive cost) and a missed deposit opportunity (false negative cost) — a business decision this report does not have enough information to make definitively, which is itself an honest limitation worth stating rather than picking a threshold arbitrarily.</w:t>
      </w:r>
    </w:p>
    <w:p>
      <w:pPr>
        <w:pStyle w:val="Heading2"/>
        <w:spacing w:after="120" w:before="240"/>
      </w:pPr>
      <w:r>
        <w:t xml:space="preserve">5.4 False Positives: False Alarms</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false_positives['campaign'].mean()   # 1.81</w:t>
      </w:r>
      <w:r>
        <w:rPr>
          <w:rFonts w:ascii="Consolas" w:cs="Consolas" w:eastAsia="Consolas" w:hAnsi="Consolas"/>
          <w:sz w:val="18"/>
          <w:szCs w:val="18"/>
        </w:rPr>
        <w:br/>
        <w:t xml:space="preserve">true_negatives['campaign'].mean()    # 2.82</w:t>
      </w:r>
    </w:p>
    <w:p>
      <w:pPr>
        <w:spacing w:after="160"/>
      </w:pPr>
      <w:r>
        <w:t xml:space="preserve">False positives average only 1.81 contacts this campaign, versus 2.82 for correctly identified non-subscribers — suggesting the model tends to over-predict "yes" earlier in a client's contact history, plausibly because other favorable-looking features (season, economic indicators) are present before campaign-specific signals have had a chance to accumulate.</w:t>
      </w:r>
    </w:p>
    <w:p>
      <w:pPr>
        <w:pStyle w:val="Heading2"/>
        <w:spacing w:after="120" w:before="240"/>
      </w:pPr>
      <w:r>
        <w:t xml:space="preserve">5.5 Diagnostic Tools Used</w:t>
      </w:r>
    </w:p>
    <w:p>
      <w:pPr>
        <w:pStyle w:val="ListParagraph"/>
        <w:numPr>
          <w:ilvl w:val="0"/>
          <w:numId w:val="2"/>
        </w:numPr>
        <w:spacing w:after="80"/>
      </w:pPr>
      <w:r>
        <w:t xml:space="preserve">Confusion matrix — to separate the two distinct types of error (false positives vs. false negatives) rather than collapsing them into one accuracy number.</w:t>
      </w:r>
    </w:p>
    <w:p>
      <w:pPr>
        <w:pStyle w:val="ListParagraph"/>
        <w:numPr>
          <w:ilvl w:val="0"/>
          <w:numId w:val="2"/>
        </w:numPr>
        <w:spacing w:after="80"/>
      </w:pPr>
      <w:r>
        <w:t xml:space="preserve">Segmented value counts (via pandas groupby-style analysis) on the misclassified subsets, to test specific hypotheses about what the errors have in common.</w:t>
      </w:r>
    </w:p>
    <w:p>
      <w:pPr>
        <w:pStyle w:val="ListParagraph"/>
        <w:numPr>
          <w:ilvl w:val="0"/>
          <w:numId w:val="2"/>
        </w:numPr>
        <w:spacing w:after="80"/>
      </w:pPr>
      <w:r>
        <w:t xml:space="preserve">Coefficient inspection (model.coef_) — to sanity-check that the model's learned relationships align with financial intuition, rather than reflecting a spurious pattern.</w:t>
      </w:r>
    </w:p>
    <w:p>
      <w:pPr>
        <w:pStyle w:val="Heading1"/>
        <w:spacing w:after="160" w:before="360"/>
      </w:pPr>
      <w:r>
        <w:t xml:space="preserve">6. Model Interpretability Check</w:t>
      </w:r>
    </w:p>
    <w:p>
      <w:pPr>
        <w:spacing w:after="160"/>
      </w:pPr>
      <w:r>
        <w:t xml:space="preserve">Inspecting the model's coefficients serves as both an interpretability tool and a diagnostic sanity check — if the strongest drivers made no real-world sense, that would itself be a red flag.</w:t>
      </w:r>
    </w:p>
    <w:p>
      <w:pPr>
        <w:spacing w:after="160"/>
      </w:pPr>
      <w:r>
        <w:rPr>
          <w:b/>
          <w:bCs/>
        </w:rPr>
        <w:t xml:space="preserve">Strongest positive drivers (push toward "yes"): </w:t>
      </w:r>
      <w:r>
        <w:t xml:space="preserve">contacted_before, month_mar, cons.price.idx — clients with a prior contact history, and campaigns run in March specifically, are associated with higher subscription likelihood.</w:t>
      </w:r>
    </w:p>
    <w:p>
      <w:pPr>
        <w:spacing w:after="160"/>
      </w:pPr>
      <w:r>
        <w:rPr>
          <w:b/>
          <w:bCs/>
        </w:rPr>
        <w:t xml:space="preserve">Strongest negative driver: </w:t>
      </w:r>
      <w:r>
        <w:t xml:space="preserve">emp.var.rate (employment variation rate) — when the broader economy is tightening, clients are less inclined to lock money into a term deposit.</w:t>
      </w:r>
    </w:p>
    <w:p>
      <w:pPr>
        <w:spacing w:after="160"/>
      </w:pPr>
      <w:r>
        <w:t xml:space="preserve">These relationships are intuitive rather than arbitrary, which supports trusting the model's behavior beyond just its aggregate metrics.</w:t>
      </w:r>
    </w:p>
    <w:p>
      <w:pPr>
        <w:pStyle w:val="Heading1"/>
        <w:spacing w:after="160" w:before="360"/>
      </w:pPr>
      <w:r>
        <w:t xml:space="preserve">7. Limitations</w:t>
      </w:r>
    </w:p>
    <w:p>
      <w:pPr>
        <w:spacing w:after="160"/>
      </w:pPr>
      <w:r>
        <w:t xml:space="preserve">A model is only as trustworthy as the honesty of its documented limitations. The following are specific, concrete constraints on this evaluation — not general disclaimers:</w:t>
      </w:r>
    </w:p>
    <w:p>
      <w:pPr>
        <w:spacing w:after="160"/>
      </w:pPr>
      <w:r>
        <w:rPr>
          <w:b/>
          <w:bCs/>
        </w:rPr>
        <w:t xml:space="preserve">1. Linearity assumption may miss real non-linear effects: </w:t>
      </w:r>
      <w:r>
        <w:t xml:space="preserve">Logistic Regression models a linear relationship between features and log-odds. Age, for instance, may plausibly have a non-linear relationship with subscription likelihood (e.g. both very young and retired clients behaving differently from the middle-aged majority) that this model cannot represent without explicit polynomial or binned features, which were not engineered in this iteration.</w:t>
      </w:r>
    </w:p>
    <w:p>
      <w:pPr>
        <w:spacing w:after="160"/>
      </w:pPr>
      <w:r>
        <w:rPr>
          <w:b/>
          <w:bCs/>
        </w:rPr>
        <w:t xml:space="preserve">2. Feature ceiling shown by near-identical FN/FP pair: </w:t>
      </w:r>
      <w:r>
        <w:t xml:space="preserve">As demonstrated in Section 5.2, a false negative and a false positive example were nearly indistinguishable on every available feature (blue-collar, married, basic.9y, one contact, no prior history) yet had opposite true outcomes. This indicates a real ceiling on separability with the current feature set — no amount of hyperparameter tuning alone can fix cases where the features themselves don't distinguish the classes.</w:t>
      </w:r>
    </w:p>
    <w:p>
      <w:pPr>
        <w:spacing w:after="160"/>
      </w:pPr>
      <w:r>
        <w:rPr>
          <w:b/>
          <w:bCs/>
        </w:rPr>
        <w:t xml:space="preserve">3. Small positive-class sample size limits confidence: </w:t>
      </w:r>
      <w:r>
        <w:t xml:space="preserve">With only 90 positive examples in the test set (and roughly 90 per cross-validation fold), single-record-level conclusions and even the recall estimate itself carry meaningful uncertainty, reflected in the 0.073 standard deviation observed across folds in Section 3.</w:t>
      </w:r>
    </w:p>
    <w:p>
      <w:pPr>
        <w:spacing w:after="160"/>
      </w:pPr>
      <w:r>
        <w:rPr>
          <w:b/>
          <w:bCs/>
        </w:rPr>
        <w:t xml:space="preserve">4. Single train-test split for final reporting: </w:t>
      </w:r>
      <w:r>
        <w:t xml:space="preserve">While cross-validation was used to estimate generalization, the headline test-set numbers in Section 4 still come from one specific 80/20 split. A more rigorous approach — nested cross-validation — would evaluate across multiple held-out splits rather than one, at the cost of additional computation.</w:t>
      </w:r>
    </w:p>
    <w:p>
      <w:pPr>
        <w:spacing w:after="160"/>
      </w:pPr>
      <w:r>
        <w:rPr>
          <w:b/>
          <w:bCs/>
        </w:rPr>
        <w:t xml:space="preserve">5. Temporal validity is untested: </w:t>
      </w:r>
      <w:r>
        <w:t xml:space="preserve">This dataset reflects a specific historical marketing campaign. Client behavior and economic conditions (already shown to matter via emp.var.rate) can shift over time, so performance on genuinely new, future campaign data is not guaranteed to match these results — this is sometimes called concept drift, and would require monitoring if this model were actually deployed.</w:t>
      </w:r>
    </w:p>
    <w:p>
      <w:pPr>
        <w:spacing w:after="160"/>
      </w:pPr>
      <w:r>
        <w:rPr>
          <w:b/>
          <w:bCs/>
        </w:rPr>
        <w:t xml:space="preserve">6. Decision threshold not yet optimized for business cost: </w:t>
      </w:r>
      <w:r>
        <w:t xml:space="preserve">As shown in Section 5.3, the default 0.5 threshold is a reasonable but arbitrary choice; the actual optimal threshold depends on a real cost ratio between agent time and missed-deposit value that has not been established here.</w:t>
      </w:r>
    </w:p>
    <w:p>
      <w:pPr>
        <w:pStyle w:val="Heading1"/>
        <w:spacing w:after="160" w:before="360"/>
      </w:pPr>
      <w:r>
        <w:t xml:space="preserve">8. Future Work</w:t>
      </w:r>
    </w:p>
    <w:p>
      <w:pPr>
        <w:pStyle w:val="ListParagraph"/>
        <w:numPr>
          <w:ilvl w:val="0"/>
          <w:numId w:val="2"/>
        </w:numPr>
        <w:spacing w:after="80"/>
      </w:pPr>
      <w:r>
        <w:t xml:space="preserve">Engineer non-linear representations of age (e.g. binning into age groups, or adding a polynomial term) to test whether the linearity assumption identified in Limitation 1 is actually costing meaningful performance.</w:t>
      </w:r>
    </w:p>
    <w:p>
      <w:pPr>
        <w:pStyle w:val="ListParagraph"/>
        <w:numPr>
          <w:ilvl w:val="0"/>
          <w:numId w:val="2"/>
        </w:numPr>
        <w:spacing w:after="80"/>
      </w:pPr>
      <w:r>
        <w:t xml:space="preserve">Compare against a non-linear model (Decision Tree or Random Forest) in Week 5, specifically to test whether the near-identical FN/FP pair in Section 5.2 becomes separable with a model that can learn feature interactions Logistic Regression cannot.</w:t>
      </w:r>
    </w:p>
    <w:p>
      <w:pPr>
        <w:pStyle w:val="ListParagraph"/>
        <w:numPr>
          <w:ilvl w:val="0"/>
          <w:numId w:val="2"/>
        </w:numPr>
        <w:spacing w:after="80"/>
      </w:pPr>
      <w:r>
        <w:t xml:space="preserve">Run a formal threshold-optimization step (e.g. maximizing F1, or a custom cost-weighted score) rather than defaulting to 0.5, using the sweep in Section 5.3 as a starting point.</w:t>
      </w:r>
    </w:p>
    <w:p>
      <w:pPr>
        <w:pStyle w:val="ListParagraph"/>
        <w:numPr>
          <w:ilvl w:val="0"/>
          <w:numId w:val="2"/>
        </w:numPr>
        <w:spacing w:after="80"/>
      </w:pPr>
      <w:r>
        <w:t xml:space="preserve">Investigate SMOTE or other resampling techniques as an alternative to class_weight='balanced', and compare their effect on the recall/precision trade-off.</w:t>
      </w:r>
    </w:p>
    <w:p>
      <w:pPr>
        <w:pStyle w:val="ListParagraph"/>
        <w:numPr>
          <w:ilvl w:val="0"/>
          <w:numId w:val="2"/>
        </w:numPr>
        <w:spacing w:after="80"/>
      </w:pPr>
      <w:r>
        <w:t xml:space="preserve">Apply nested cross-validation for the Week 5 hyperparameter search, so the final reported performance is not dependent on a single held-out split.</w:t>
      </w:r>
    </w:p>
    <w:p>
      <w:pPr>
        <w:pStyle w:val="ListParagraph"/>
        <w:numPr>
          <w:ilvl w:val="0"/>
          <w:numId w:val="2"/>
        </w:numPr>
        <w:spacing w:after="80"/>
      </w:pPr>
      <w:r>
        <w:t xml:space="preserve">If more data becomes available, test the model on a genuinely later time period to check for concept drift rather than assuming the current results hold indefinitely.</w:t>
      </w:r>
    </w:p>
    <w:p>
      <w:pPr>
        <w:pStyle w:val="Heading1"/>
        <w:spacing w:after="160" w:before="360"/>
      </w:pPr>
      <w:r>
        <w:t xml:space="preserve">9. Conclusion</w:t>
      </w:r>
    </w:p>
    <w:p>
      <w:pPr>
        <w:spacing w:after="160"/>
      </w:pPr>
      <w:r>
        <w:t xml:space="preserve">The evaluation shows a model that is stable (test performance closely tracks cross-validation results, with no sign of overfitting) and reasonably effective (catching 60% of genuine subscribers against an 11% base rate), but with specific, evidenced limitations: a linearity assumption that may miss real effects, a feature set with a demonstrated ceiling on separability, and a decision threshold not yet optimized for real business costs. These are not generic caveats — each is backed by a concrete example or calculation in this report. They form a direct, actionable agenda for Week 5, where hyperparameter tuning and an alternative model type will be evaluated against this exact baseline to see whether they can close these specific gaps.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2026-09-22T08:33:37.780Z</dcterms:created>
  <dcterms:modified xsi:type="dcterms:W3CDTF">2026-09-22T08:33:37.781Z</dcterms:modified>
</cp:coreProperties>
</file>

<file path=docProps/custom.xml><?xml version="1.0" encoding="utf-8"?>
<Properties xmlns="http://schemas.openxmlformats.org/officeDocument/2006/custom-properties" xmlns:vt="http://schemas.openxmlformats.org/officeDocument/2006/docPropsVTypes"/>
</file>