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Model Optimization and Experimentation</w:t>
      </w:r>
    </w:p>
    <w:p>
      <w:pPr>
        <w:spacing w:after="60"/>
        <w:jc w:val="center"/>
      </w:pPr>
      <w:r>
        <w:rPr>
          <w:i/>
          <w:iCs/>
          <w:sz w:val="24"/>
          <w:szCs w:val="24"/>
        </w:rPr>
        <w:t xml:space="preserve">Bank Marketing Dataset — Term Deposit Subscription Prediction</w:t>
      </w:r>
    </w:p>
    <w:p>
      <w:pPr>
        <w:spacing w:after="60"/>
        <w:jc w:val="center"/>
      </w:pPr>
      <w:r>
        <w:rPr>
          <w:sz w:val="22"/>
          <w:szCs w:val="22"/>
        </w:rPr>
        <w:t xml:space="preserve">Machine Learning Engineer Internship — Week 5 Deliverable</w:t>
      </w:r>
    </w:p>
    <w:p>
      <w:pPr>
        <w:spacing w:after="600"/>
        <w:jc w:val="center"/>
      </w:pPr>
      <w:r>
        <w:rPr>
          <w:sz w:val="22"/>
          <w:szCs w:val="22"/>
        </w:rPr>
        <w:t xml:space="preserve">Prepared by: Aswathi</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 and Rationale</w:t>
      </w:r>
    </w:p>
    <w:p>
      <w:pPr>
        <w:spacing w:after="160"/>
      </w:pPr>
      <w:r>
        <w:t xml:space="preserve">A model's initial configuration is rarely its best one. This report runs two real tuning experiments against the Week 4 Logistic Regression baseline (cross-validation F1 mean of 0.427): a hyperparameter search on the baseline model itself, and a comparison against a fundamentally different model type, motivated directly by a specific limitation Week 4 identified rather than tuning for its own sake.</w:t>
      </w:r>
    </w:p>
    <w:p>
      <w:pPr>
        <w:spacing w:after="160"/>
      </w:pPr>
      <w:r>
        <w:t xml:space="preserve">Specifically, Week 4's error analysis surfaced a false negative and a false positive example that were nearly identical on every available feature yet had opposite true outcomes — suggesting a ceiling on what a linear decision boundary could separate. This report treats that finding as a testable hypothesis: if a non-linear model resolves that specific pair, it supports the ceiling explanation; if not, the limitation runs deeper than model choice.</w:t>
      </w:r>
    </w:p>
    <w:p>
      <w:pPr>
        <w:pStyle w:val="Heading1"/>
        <w:spacing w:after="160" w:before="360"/>
      </w:pPr>
      <w:r>
        <w:t xml:space="preserve">2. Optimization Methods</w:t>
      </w:r>
    </w:p>
    <w:p>
      <w:pPr>
        <w:pStyle w:val="Heading2"/>
        <w:spacing w:after="120" w:before="240"/>
      </w:pPr>
      <w:r>
        <w:t xml:space="preserve">2.1 Grid Search</w:t>
      </w:r>
    </w:p>
    <w:p>
      <w:pPr>
        <w:spacing w:after="160"/>
      </w:pPr>
      <w:r>
        <w:rPr>
          <w:b/>
          <w:bCs/>
        </w:rPr>
        <w:t xml:space="preserve">What it does: </w:t>
      </w:r>
      <w:r>
        <w:t xml:space="preserve">exhaustively evaluates every combination of specified hyperparameter values.</w:t>
      </w:r>
    </w:p>
    <w:p>
      <w:pPr>
        <w:spacing w:after="160"/>
      </w:pPr>
      <w:r>
        <w:rPr>
          <w:b/>
          <w:bCs/>
        </w:rPr>
        <w:t xml:space="preserve">Pros: </w:t>
      </w:r>
      <w:r>
        <w:t xml:space="preserve">guaranteed to find the best configuration within the specified grid; results are fully reproducible and easy to reason about.</w:t>
      </w:r>
    </w:p>
    <w:p>
      <w:pPr>
        <w:spacing w:after="160"/>
      </w:pPr>
      <w:r>
        <w:rPr>
          <w:b/>
          <w:bCs/>
        </w:rPr>
        <w:t xml:space="preserve">Cons: </w:t>
      </w:r>
      <w:r>
        <w:t xml:space="preserve">computational cost grows exponentially with the number of parameters and values — impractical for high-dimensional search spaces.</w:t>
      </w:r>
    </w:p>
    <w:p>
      <w:pPr>
        <w:spacing w:after="160"/>
      </w:pPr>
      <w:r>
        <w:rPr>
          <w:b/>
          <w:bCs/>
        </w:rPr>
        <w:t xml:space="preserve">Used here for: </w:t>
      </w:r>
      <w:r>
        <w:t xml:space="preserve">Logistic Regression's hyperparameters (C, penalty) — only 2 parameters with a small number of sensible values, making exhaustive search cheap (10 combinations).</w:t>
      </w:r>
    </w:p>
    <w:p>
      <w:pPr>
        <w:pStyle w:val="Heading2"/>
        <w:spacing w:after="120" w:before="240"/>
      </w:pPr>
      <w:r>
        <w:t xml:space="preserve">2.2 Random Search</w:t>
      </w:r>
    </w:p>
    <w:p>
      <w:pPr>
        <w:spacing w:after="160"/>
      </w:pPr>
      <w:r>
        <w:rPr>
          <w:b/>
          <w:bCs/>
        </w:rPr>
        <w:t xml:space="preserve">What it does: </w:t>
      </w:r>
      <w:r>
        <w:t xml:space="preserve">samples a fixed number of random combinations from the hyperparameter space, rather than testing all of them.</w:t>
      </w:r>
    </w:p>
    <w:p>
      <w:pPr>
        <w:spacing w:after="160"/>
      </w:pPr>
      <w:r>
        <w:rPr>
          <w:b/>
          <w:bCs/>
        </w:rPr>
        <w:t xml:space="preserve">Pros: </w:t>
      </w:r>
      <w:r>
        <w:t xml:space="preserve">scales far better to large search spaces; research (Bergstra &amp; Bengio, 2012) has shown it often finds comparably good configurations to grid search with a fraction of the compute, since not all hyperparameters matter equally.</w:t>
      </w:r>
    </w:p>
    <w:p>
      <w:pPr>
        <w:spacing w:after="160"/>
      </w:pPr>
      <w:r>
        <w:rPr>
          <w:b/>
          <w:bCs/>
        </w:rPr>
        <w:t xml:space="preserve">Cons: </w:t>
      </w:r>
      <w:r>
        <w:t xml:space="preserve">no guarantee of finding the true optimum; results can vary slightly between runs unless a random seed is fixed.</w:t>
      </w:r>
    </w:p>
    <w:p>
      <w:pPr>
        <w:spacing w:after="160"/>
      </w:pPr>
      <w:r>
        <w:rPr>
          <w:b/>
          <w:bCs/>
        </w:rPr>
        <w:t xml:space="preserve">Used here for: </w:t>
      </w:r>
      <w:r>
        <w:t xml:space="preserve">Random Forest's hyperparameters (n_estimators, max_depth, min_samples_leaf, max_features) — a 4-dimensional space where a full grid would require 160 combinations; 20 random samples were used instead, an 8x reduction in compute.</w:t>
      </w:r>
    </w:p>
    <w:p>
      <w:pPr>
        <w:pStyle w:val="Heading2"/>
        <w:spacing w:after="120" w:before="240"/>
      </w:pPr>
      <w:r>
        <w:t xml:space="preserve">2.3 Bayesian Optimization</w:t>
      </w:r>
    </w:p>
    <w:p>
      <w:pPr>
        <w:spacing w:after="160"/>
      </w:pPr>
      <w:r>
        <w:rPr>
          <w:b/>
          <w:bCs/>
        </w:rPr>
        <w:t xml:space="preserve">What it does: </w:t>
      </w:r>
      <w:r>
        <w:t xml:space="preserve">builds a probabilistic model of how hyperparameters relate to performance, and uses it to intelligently choose the next configuration to try, rather than searching randomly or exhaustively.</w:t>
      </w:r>
    </w:p>
    <w:p>
      <w:pPr>
        <w:spacing w:after="160"/>
      </w:pPr>
      <w:r>
        <w:rPr>
          <w:b/>
          <w:bCs/>
        </w:rPr>
        <w:t xml:space="preserve">Pros: </w:t>
      </w:r>
      <w:r>
        <w:t xml:space="preserve">typically finds strong configurations in far fewer evaluations than grid or random search, particularly valuable for expensive-to-train models.</w:t>
      </w:r>
    </w:p>
    <w:p>
      <w:pPr>
        <w:spacing w:after="160"/>
      </w:pPr>
      <w:r>
        <w:rPr>
          <w:b/>
          <w:bCs/>
        </w:rPr>
        <w:t xml:space="preserve">Cons: </w:t>
      </w:r>
      <w:r>
        <w:t xml:space="preserve">more complex to set up (commonly via libraries like Hyperopt or Optuna, not included in scikit-learn directly); the benefit over random search is most pronounced when each evaluation is expensive — for this dataset's modest size, the two smaller searches run here complete in well under a minute, so Bayesian optimization's main advantage did not clearly apply and it was not used, in favor of the simpler, sufficient methods above.</w:t>
      </w:r>
    </w:p>
    <w:p>
      <w:pPr>
        <w:pStyle w:val="Heading1"/>
        <w:spacing w:after="160" w:before="360"/>
      </w:pPr>
      <w:r>
        <w:t xml:space="preserve">3. Experimental Design</w:t>
      </w:r>
    </w:p>
    <w:p>
      <w:pPr>
        <w:pStyle w:val="Heading2"/>
        <w:spacing w:after="120" w:before="240"/>
      </w:pPr>
      <w:r>
        <w:t xml:space="preserve">3.1 Parameter Space</w:t>
      </w:r>
    </w:p>
    <w:p>
      <w:pPr>
        <w:spacing w:after="160"/>
      </w:pPr>
      <w:r>
        <w:t xml:space="preserve">Experiment 1 (Logistic Regression, Grid Search): C values of 0.01, 0.1, 1, 10, 100 (spanning two orders of magnitude either side of the default) crossed with penalty types l1 and l2 — 10 combinations.</w:t>
      </w:r>
    </w:p>
    <w:p>
      <w:pPr>
        <w:spacing w:after="160"/>
      </w:pPr>
      <w:r>
        <w:t xml:space="preserve">Experiment 2 (Random Forest, Random Search): n_estimators [100, 200, 300, 500], max_depth [4, 6, 8, 10, None], min_samples_leaf [1, 2, 5, 10], max_features [sqrt, log2] — 20 randomly sampled combinations out of 160 possible.</w:t>
      </w:r>
    </w:p>
    <w:p>
      <w:pPr>
        <w:pStyle w:val="Heading2"/>
        <w:spacing w:after="120" w:before="240"/>
      </w:pPr>
      <w:r>
        <w:t xml:space="preserve">3.2 Control Variables</w:t>
      </w:r>
    </w:p>
    <w:p>
      <w:pPr>
        <w:spacing w:after="160"/>
      </w:pPr>
      <w:r>
        <w:t xml:space="preserve">To ensure any performance difference is attributable to the hyperparameters being searched and not to confounding factors, the following were held fixed across every experiment:</w:t>
      </w:r>
    </w:p>
    <w:p>
      <w:pPr>
        <w:pStyle w:val="ListParagraph"/>
        <w:numPr>
          <w:ilvl w:val="0"/>
          <w:numId w:val="2"/>
        </w:numPr>
        <w:spacing w:after="80"/>
      </w:pPr>
      <w:r>
        <w:t xml:space="preserve">The exact same train/test split as Week 3–4 (random_state=42, stratified 80/20).</w:t>
      </w:r>
    </w:p>
    <w:p>
      <w:pPr>
        <w:pStyle w:val="ListParagraph"/>
        <w:numPr>
          <w:ilvl w:val="0"/>
          <w:numId w:val="2"/>
        </w:numPr>
        <w:spacing w:after="80"/>
      </w:pPr>
      <w:r>
        <w:t xml:space="preserve">class_weight='balanced' in both model families, preserving the Week 3 decision to address class imbalance rather than reintroducing it as a variable.</w:t>
      </w:r>
    </w:p>
    <w:p>
      <w:pPr>
        <w:pStyle w:val="ListParagraph"/>
        <w:numPr>
          <w:ilvl w:val="0"/>
          <w:numId w:val="2"/>
        </w:numPr>
        <w:spacing w:after="80"/>
      </w:pPr>
      <w:r>
        <w:t xml:space="preserve">5-fold stratified cross-validation (same StratifiedKFold configuration as Week 4) used to score every configuration during the search itself.</w:t>
      </w:r>
    </w:p>
    <w:p>
      <w:pPr>
        <w:pStyle w:val="ListParagraph"/>
        <w:numPr>
          <w:ilvl w:val="0"/>
          <w:numId w:val="2"/>
        </w:numPr>
        <w:spacing w:after="80"/>
      </w:pPr>
      <w:r>
        <w:t xml:space="preserve">F1 score as the search's optimization target, providing a single balanced number to rank configurations by, while precision/recall/accuracy/ROC-AUC were still all reported for the final chosen models.</w:t>
      </w:r>
    </w:p>
    <w:p>
      <w:pPr>
        <w:pStyle w:val="Heading2"/>
        <w:spacing w:after="120" w:before="240"/>
      </w:pPr>
      <w:r>
        <w:t xml:space="preserve">3.3 Systematic Testing Procedure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grid = GridSearchCV(base_model, param_grid, scoring='f1', cv=skf, n_jobs=-1)</w:t>
      </w:r>
      <w:r>
        <w:rPr>
          <w:rFonts w:ascii="Consolas" w:cs="Consolas" w:eastAsia="Consolas" w:hAnsi="Consolas"/>
          <w:sz w:val="18"/>
          <w:szCs w:val="18"/>
        </w:rPr>
        <w:br/>
        <w:t xml:space="preserve">grid.fit(X_train,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random_search = RandomizedSearchCV(rf, param_dist, n_iter=20, scoring='f1',</w:t>
      </w:r>
      <w:r>
        <w:rPr>
          <w:rFonts w:ascii="Consolas" w:cs="Consolas" w:eastAsia="Consolas" w:hAnsi="Consolas"/>
          <w:sz w:val="18"/>
          <w:szCs w:val="18"/>
        </w:rPr>
        <w:br/>
        <w:t xml:space="preserve">                                    cv=skf, n_jobs=-1, random_state=42)</w:t>
      </w:r>
      <w:r>
        <w:rPr>
          <w:rFonts w:ascii="Consolas" w:cs="Consolas" w:eastAsia="Consolas" w:hAnsi="Consolas"/>
          <w:sz w:val="18"/>
          <w:szCs w:val="18"/>
        </w:rPr>
        <w:br/>
        <w:t xml:space="preserve">random_search.fit(X_train, y_train)</w:t>
      </w:r>
    </w:p>
    <w:p>
      <w:pPr>
        <w:spacing w:after="160"/>
      </w:pPr>
      <w:r>
        <w:t xml:space="preserve">scikit-learn's GridSearchCV and RandomizedSearchCV both handle the cross-validation loop internally — for every candidate configuration, the model is trained and evaluated 5 times (once per fold) and the mean score is used for ranking, exactly matching the validation methodology established in Week 4.</w:t>
      </w:r>
    </w:p>
    <w:p>
      <w:pPr>
        <w:pStyle w:val="Heading1"/>
        <w:spacing w:after="160" w:before="360"/>
      </w:pPr>
      <w:r>
        <w:t xml:space="preserve">4. Analysis of Results</w:t>
      </w:r>
    </w:p>
    <w:p>
      <w:pPr>
        <w:pStyle w:val="Heading2"/>
        <w:spacing w:after="120" w:before="240"/>
      </w:pPr>
      <w:r>
        <w:t xml:space="preserve">4.1 Grid Search: Logistic Regression</w:t>
      </w:r>
    </w:p>
    <w:p>
      <w:pPr>
        <w:spacing w:after="160"/>
      </w:pPr>
      <w:r>
        <w:t xml:space="preserve">Best configuration: C=0.1, penalty=l2 (CV F1 = 0.435). The full ranked grid:</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800"/>
      </w:tblGrid>
      <w:tr>
        <w:trPr>
          <w:tblHeader/>
        </w:trPr>
        <w:tc>
          <w:tcPr>
            <w:tcW w:type="dxa" w:w="1400"/>
            <w:shd w:fill="1F3864" w:val="clear"/>
            <w:tcMar>
              <w:top w:type="dxa" w:w="100"/>
              <w:left w:type="dxa" w:w="120"/>
              <w:bottom w:type="dxa" w:w="100"/>
              <w:right w:type="dxa" w:w="120"/>
            </w:tcMar>
          </w:tcPr>
          <w:p>
            <w:r>
              <w:rPr>
                <w:b/>
                <w:bCs/>
                <w:color w:val="FFFFFF"/>
                <w:sz w:val="20"/>
                <w:szCs w:val="20"/>
              </w:rPr>
              <w:t xml:space="preserve">C</w:t>
            </w:r>
          </w:p>
        </w:tc>
        <w:tc>
          <w:tcPr>
            <w:tcW w:type="dxa" w:w="1600"/>
            <w:shd w:fill="1F3864" w:val="clear"/>
            <w:tcMar>
              <w:top w:type="dxa" w:w="100"/>
              <w:left w:type="dxa" w:w="120"/>
              <w:bottom w:type="dxa" w:w="100"/>
              <w:right w:type="dxa" w:w="120"/>
            </w:tcMar>
          </w:tcPr>
          <w:p>
            <w:r>
              <w:rPr>
                <w:b/>
                <w:bCs/>
                <w:color w:val="FFFFFF"/>
                <w:sz w:val="20"/>
                <w:szCs w:val="20"/>
              </w:rPr>
              <w:t xml:space="preserve">Penalty</w:t>
            </w:r>
          </w:p>
        </w:tc>
        <w:tc>
          <w:tcPr>
            <w:tcW w:type="dxa" w:w="1800"/>
            <w:shd w:fill="1F3864" w:val="clear"/>
            <w:tcMar>
              <w:top w:type="dxa" w:w="100"/>
              <w:left w:type="dxa" w:w="120"/>
              <w:bottom w:type="dxa" w:w="100"/>
              <w:right w:type="dxa" w:w="120"/>
            </w:tcMar>
          </w:tcPr>
          <w:p>
            <w:r>
              <w:rPr>
                <w:b/>
                <w:bCs/>
                <w:color w:val="FFFFFF"/>
                <w:sz w:val="20"/>
                <w:szCs w:val="20"/>
              </w:rPr>
              <w:t xml:space="preserve">Mean CV F1</w:t>
            </w:r>
          </w:p>
        </w:tc>
        <w:tc>
          <w:tcPr>
            <w:tcW w:type="dxa" w:w="1800"/>
            <w:shd w:fill="1F3864" w:val="clear"/>
            <w:tcMar>
              <w:top w:type="dxa" w:w="100"/>
              <w:left w:type="dxa" w:w="120"/>
              <w:bottom w:type="dxa" w:w="100"/>
              <w:right w:type="dxa" w:w="120"/>
            </w:tcMar>
          </w:tcPr>
          <w:p>
            <w:r>
              <w:rPr>
                <w:b/>
                <w:bCs/>
                <w:color w:val="FFFFFF"/>
                <w:sz w:val="20"/>
                <w:szCs w:val="20"/>
              </w:rPr>
              <w:t xml:space="preserve">Std Dev</w:t>
            </w:r>
          </w:p>
        </w:tc>
      </w:tr>
      <w:tr>
        <w:tc>
          <w:tcPr>
            <w:tcW w:type="dxa" w:w="1400"/>
            <w:tcMar>
              <w:top w:type="dxa" w:w="100"/>
              <w:left w:type="dxa" w:w="120"/>
              <w:bottom w:type="dxa" w:w="100"/>
              <w:right w:type="dxa" w:w="120"/>
            </w:tcMar>
          </w:tcPr>
          <w:p>
            <w:r>
              <w:rPr>
                <w:b w:val="false"/>
                <w:bCs w:val="false"/>
                <w:sz w:val="20"/>
                <w:szCs w:val="20"/>
              </w:rPr>
              <w:t xml:space="preserve">0.1</w:t>
            </w:r>
          </w:p>
        </w:tc>
        <w:tc>
          <w:tcPr>
            <w:tcW w:type="dxa" w:w="1600"/>
            <w:tcMar>
              <w:top w:type="dxa" w:w="100"/>
              <w:left w:type="dxa" w:w="120"/>
              <w:bottom w:type="dxa" w:w="100"/>
              <w:right w:type="dxa" w:w="120"/>
            </w:tcMar>
          </w:tcPr>
          <w:p>
            <w:r>
              <w:rPr>
                <w:b w:val="false"/>
                <w:bCs w:val="false"/>
                <w:sz w:val="20"/>
                <w:szCs w:val="20"/>
              </w:rPr>
              <w:t xml:space="preserve">l2</w:t>
            </w:r>
          </w:p>
        </w:tc>
        <w:tc>
          <w:tcPr>
            <w:tcW w:type="dxa" w:w="1800"/>
            <w:tcMar>
              <w:top w:type="dxa" w:w="100"/>
              <w:left w:type="dxa" w:w="120"/>
              <w:bottom w:type="dxa" w:w="100"/>
              <w:right w:type="dxa" w:w="120"/>
            </w:tcMar>
          </w:tcPr>
          <w:p>
            <w:r>
              <w:rPr>
                <w:b w:val="false"/>
                <w:bCs w:val="false"/>
                <w:sz w:val="20"/>
                <w:szCs w:val="20"/>
              </w:rPr>
              <w:t xml:space="preserve">0.435</w:t>
            </w:r>
          </w:p>
        </w:tc>
        <w:tc>
          <w:tcPr>
            <w:tcW w:type="dxa" w:w="1800"/>
            <w:tcMar>
              <w:top w:type="dxa" w:w="100"/>
              <w:left w:type="dxa" w:w="120"/>
              <w:bottom w:type="dxa" w:w="100"/>
              <w:right w:type="dxa" w:w="120"/>
            </w:tcMar>
          </w:tcPr>
          <w:p>
            <w:r>
              <w:rPr>
                <w:b w:val="false"/>
                <w:bCs w:val="false"/>
                <w:sz w:val="20"/>
                <w:szCs w:val="20"/>
              </w:rPr>
              <w:t xml:space="preserve">0.028</w:t>
            </w:r>
          </w:p>
        </w:tc>
      </w:tr>
      <w:tr>
        <w:tc>
          <w:tcPr>
            <w:tcW w:type="dxa" w:w="1400"/>
            <w:tcMar>
              <w:top w:type="dxa" w:w="100"/>
              <w:left w:type="dxa" w:w="120"/>
              <w:bottom w:type="dxa" w:w="100"/>
              <w:right w:type="dxa" w:w="120"/>
            </w:tcMar>
          </w:tcPr>
          <w:p>
            <w:r>
              <w:rPr>
                <w:b w:val="false"/>
                <w:bCs w:val="false"/>
                <w:sz w:val="20"/>
                <w:szCs w:val="20"/>
              </w:rPr>
              <w:t xml:space="preserve">1.0</w:t>
            </w:r>
          </w:p>
        </w:tc>
        <w:tc>
          <w:tcPr>
            <w:tcW w:type="dxa" w:w="1600"/>
            <w:tcMar>
              <w:top w:type="dxa" w:w="100"/>
              <w:left w:type="dxa" w:w="120"/>
              <w:bottom w:type="dxa" w:w="100"/>
              <w:right w:type="dxa" w:w="120"/>
            </w:tcMar>
          </w:tcPr>
          <w:p>
            <w:r>
              <w:rPr>
                <w:b w:val="false"/>
                <w:bCs w:val="false"/>
                <w:sz w:val="20"/>
                <w:szCs w:val="20"/>
              </w:rPr>
              <w:t xml:space="preserve">l1</w:t>
            </w:r>
          </w:p>
        </w:tc>
        <w:tc>
          <w:tcPr>
            <w:tcW w:type="dxa" w:w="1800"/>
            <w:tcMar>
              <w:top w:type="dxa" w:w="100"/>
              <w:left w:type="dxa" w:w="120"/>
              <w:bottom w:type="dxa" w:w="100"/>
              <w:right w:type="dxa" w:w="120"/>
            </w:tcMar>
          </w:tcPr>
          <w:p>
            <w:r>
              <w:rPr>
                <w:b w:val="false"/>
                <w:bCs w:val="false"/>
                <w:sz w:val="20"/>
                <w:szCs w:val="20"/>
              </w:rPr>
              <w:t xml:space="preserve">0.432</w:t>
            </w:r>
          </w:p>
        </w:tc>
        <w:tc>
          <w:tcPr>
            <w:tcW w:type="dxa" w:w="1800"/>
            <w:tcMar>
              <w:top w:type="dxa" w:w="100"/>
              <w:left w:type="dxa" w:w="120"/>
              <w:bottom w:type="dxa" w:w="100"/>
              <w:right w:type="dxa" w:w="120"/>
            </w:tcMar>
          </w:tcPr>
          <w:p>
            <w:r>
              <w:rPr>
                <w:b w:val="false"/>
                <w:bCs w:val="false"/>
                <w:sz w:val="20"/>
                <w:szCs w:val="20"/>
              </w:rPr>
              <w:t xml:space="preserve">0.031</w:t>
            </w:r>
          </w:p>
        </w:tc>
      </w:tr>
      <w:tr>
        <w:tc>
          <w:tcPr>
            <w:tcW w:type="dxa" w:w="1400"/>
            <w:tcMar>
              <w:top w:type="dxa" w:w="100"/>
              <w:left w:type="dxa" w:w="120"/>
              <w:bottom w:type="dxa" w:w="100"/>
              <w:right w:type="dxa" w:w="120"/>
            </w:tcMar>
          </w:tcPr>
          <w:p>
            <w:r>
              <w:rPr>
                <w:b w:val="false"/>
                <w:bCs w:val="false"/>
                <w:sz w:val="20"/>
                <w:szCs w:val="20"/>
              </w:rPr>
              <w:t xml:space="preserve">10.0</w:t>
            </w:r>
          </w:p>
        </w:tc>
        <w:tc>
          <w:tcPr>
            <w:tcW w:type="dxa" w:w="1600"/>
            <w:tcMar>
              <w:top w:type="dxa" w:w="100"/>
              <w:left w:type="dxa" w:w="120"/>
              <w:bottom w:type="dxa" w:w="100"/>
              <w:right w:type="dxa" w:w="120"/>
            </w:tcMar>
          </w:tcPr>
          <w:p>
            <w:r>
              <w:rPr>
                <w:b w:val="false"/>
                <w:bCs w:val="false"/>
                <w:sz w:val="20"/>
                <w:szCs w:val="20"/>
              </w:rPr>
              <w:t xml:space="preserve">l2</w:t>
            </w:r>
          </w:p>
        </w:tc>
        <w:tc>
          <w:tcPr>
            <w:tcW w:type="dxa" w:w="1800"/>
            <w:tcMar>
              <w:top w:type="dxa" w:w="100"/>
              <w:left w:type="dxa" w:w="120"/>
              <w:bottom w:type="dxa" w:w="100"/>
              <w:right w:type="dxa" w:w="120"/>
            </w:tcMar>
          </w:tcPr>
          <w:p>
            <w:r>
              <w:rPr>
                <w:b w:val="false"/>
                <w:bCs w:val="false"/>
                <w:sz w:val="20"/>
                <w:szCs w:val="20"/>
              </w:rPr>
              <w:t xml:space="preserve">0.431</w:t>
            </w:r>
          </w:p>
        </w:tc>
        <w:tc>
          <w:tcPr>
            <w:tcW w:type="dxa" w:w="1800"/>
            <w:tcMar>
              <w:top w:type="dxa" w:w="100"/>
              <w:left w:type="dxa" w:w="120"/>
              <w:bottom w:type="dxa" w:w="100"/>
              <w:right w:type="dxa" w:w="120"/>
            </w:tcMar>
          </w:tcPr>
          <w:p>
            <w:r>
              <w:rPr>
                <w:b w:val="false"/>
                <w:bCs w:val="false"/>
                <w:sz w:val="20"/>
                <w:szCs w:val="20"/>
              </w:rPr>
              <w:t xml:space="preserve">0.037</w:t>
            </w:r>
          </w:p>
        </w:tc>
      </w:tr>
      <w:tr>
        <w:tc>
          <w:tcPr>
            <w:tcW w:type="dxa" w:w="1400"/>
            <w:tcMar>
              <w:top w:type="dxa" w:w="100"/>
              <w:left w:type="dxa" w:w="120"/>
              <w:bottom w:type="dxa" w:w="100"/>
              <w:right w:type="dxa" w:w="120"/>
            </w:tcMar>
          </w:tcPr>
          <w:p>
            <w:r>
              <w:rPr>
                <w:b w:val="false"/>
                <w:bCs w:val="false"/>
                <w:sz w:val="20"/>
                <w:szCs w:val="20"/>
              </w:rPr>
              <w:t xml:space="preserve">10.0</w:t>
            </w:r>
          </w:p>
        </w:tc>
        <w:tc>
          <w:tcPr>
            <w:tcW w:type="dxa" w:w="1600"/>
            <w:tcMar>
              <w:top w:type="dxa" w:w="100"/>
              <w:left w:type="dxa" w:w="120"/>
              <w:bottom w:type="dxa" w:w="100"/>
              <w:right w:type="dxa" w:w="120"/>
            </w:tcMar>
          </w:tcPr>
          <w:p>
            <w:r>
              <w:rPr>
                <w:b w:val="false"/>
                <w:bCs w:val="false"/>
                <w:sz w:val="20"/>
                <w:szCs w:val="20"/>
              </w:rPr>
              <w:t xml:space="preserve">l1</w:t>
            </w:r>
          </w:p>
        </w:tc>
        <w:tc>
          <w:tcPr>
            <w:tcW w:type="dxa" w:w="1800"/>
            <w:tcMar>
              <w:top w:type="dxa" w:w="100"/>
              <w:left w:type="dxa" w:w="120"/>
              <w:bottom w:type="dxa" w:w="100"/>
              <w:right w:type="dxa" w:w="120"/>
            </w:tcMar>
          </w:tcPr>
          <w:p>
            <w:r>
              <w:rPr>
                <w:b w:val="false"/>
                <w:bCs w:val="false"/>
                <w:sz w:val="20"/>
                <w:szCs w:val="20"/>
              </w:rPr>
              <w:t xml:space="preserve">0.431</w:t>
            </w:r>
          </w:p>
        </w:tc>
        <w:tc>
          <w:tcPr>
            <w:tcW w:type="dxa" w:w="1800"/>
            <w:tcMar>
              <w:top w:type="dxa" w:w="100"/>
              <w:left w:type="dxa" w:w="120"/>
              <w:bottom w:type="dxa" w:w="100"/>
              <w:right w:type="dxa" w:w="120"/>
            </w:tcMar>
          </w:tcPr>
          <w:p>
            <w:r>
              <w:rPr>
                <w:b w:val="false"/>
                <w:bCs w:val="false"/>
                <w:sz w:val="20"/>
                <w:szCs w:val="20"/>
              </w:rPr>
              <w:t xml:space="preserve">0.035</w:t>
            </w:r>
          </w:p>
        </w:tc>
      </w:tr>
      <w:tr>
        <w:tc>
          <w:tcPr>
            <w:tcW w:type="dxa" w:w="1400"/>
            <w:tcMar>
              <w:top w:type="dxa" w:w="100"/>
              <w:left w:type="dxa" w:w="120"/>
              <w:bottom w:type="dxa" w:w="100"/>
              <w:right w:type="dxa" w:w="120"/>
            </w:tcMar>
          </w:tcPr>
          <w:p>
            <w:r>
              <w:rPr>
                <w:b w:val="false"/>
                <w:bCs w:val="false"/>
                <w:sz w:val="20"/>
                <w:szCs w:val="20"/>
              </w:rPr>
              <w:t xml:space="preserve">100.0</w:t>
            </w:r>
          </w:p>
        </w:tc>
        <w:tc>
          <w:tcPr>
            <w:tcW w:type="dxa" w:w="1600"/>
            <w:tcMar>
              <w:top w:type="dxa" w:w="100"/>
              <w:left w:type="dxa" w:w="120"/>
              <w:bottom w:type="dxa" w:w="100"/>
              <w:right w:type="dxa" w:w="120"/>
            </w:tcMar>
          </w:tcPr>
          <w:p>
            <w:r>
              <w:rPr>
                <w:b w:val="false"/>
                <w:bCs w:val="false"/>
                <w:sz w:val="20"/>
                <w:szCs w:val="20"/>
              </w:rPr>
              <w:t xml:space="preserve">l1/l2</w:t>
            </w:r>
          </w:p>
        </w:tc>
        <w:tc>
          <w:tcPr>
            <w:tcW w:type="dxa" w:w="1800"/>
            <w:tcMar>
              <w:top w:type="dxa" w:w="100"/>
              <w:left w:type="dxa" w:w="120"/>
              <w:bottom w:type="dxa" w:w="100"/>
              <w:right w:type="dxa" w:w="120"/>
            </w:tcMar>
          </w:tcPr>
          <w:p>
            <w:r>
              <w:rPr>
                <w:b w:val="false"/>
                <w:bCs w:val="false"/>
                <w:sz w:val="20"/>
                <w:szCs w:val="20"/>
              </w:rPr>
              <w:t xml:space="preserve">0.431</w:t>
            </w:r>
          </w:p>
        </w:tc>
        <w:tc>
          <w:tcPr>
            <w:tcW w:type="dxa" w:w="1800"/>
            <w:tcMar>
              <w:top w:type="dxa" w:w="100"/>
              <w:left w:type="dxa" w:w="120"/>
              <w:bottom w:type="dxa" w:w="100"/>
              <w:right w:type="dxa" w:w="120"/>
            </w:tcMar>
          </w:tcPr>
          <w:p>
            <w:r>
              <w:rPr>
                <w:b w:val="false"/>
                <w:bCs w:val="false"/>
                <w:sz w:val="20"/>
                <w:szCs w:val="20"/>
              </w:rPr>
              <w:t xml:space="preserve">0.037</w:t>
            </w:r>
          </w:p>
        </w:tc>
      </w:tr>
      <w:tr>
        <w:tc>
          <w:tcPr>
            <w:tcW w:type="dxa" w:w="1400"/>
            <w:tcMar>
              <w:top w:type="dxa" w:w="100"/>
              <w:left w:type="dxa" w:w="120"/>
              <w:bottom w:type="dxa" w:w="100"/>
              <w:right w:type="dxa" w:w="120"/>
            </w:tcMar>
          </w:tcPr>
          <w:p>
            <w:r>
              <w:rPr>
                <w:b w:val="false"/>
                <w:bCs w:val="false"/>
                <w:sz w:val="20"/>
                <w:szCs w:val="20"/>
              </w:rPr>
              <w:t xml:space="preserve">1.0</w:t>
            </w:r>
          </w:p>
        </w:tc>
        <w:tc>
          <w:tcPr>
            <w:tcW w:type="dxa" w:w="1600"/>
            <w:tcMar>
              <w:top w:type="dxa" w:w="100"/>
              <w:left w:type="dxa" w:w="120"/>
              <w:bottom w:type="dxa" w:w="100"/>
              <w:right w:type="dxa" w:w="120"/>
            </w:tcMar>
          </w:tcPr>
          <w:p>
            <w:r>
              <w:rPr>
                <w:b w:val="false"/>
                <w:bCs w:val="false"/>
                <w:sz w:val="20"/>
                <w:szCs w:val="20"/>
              </w:rPr>
              <w:t xml:space="preserve">l2</w:t>
            </w:r>
          </w:p>
        </w:tc>
        <w:tc>
          <w:tcPr>
            <w:tcW w:type="dxa" w:w="1800"/>
            <w:tcMar>
              <w:top w:type="dxa" w:w="100"/>
              <w:left w:type="dxa" w:w="120"/>
              <w:bottom w:type="dxa" w:w="100"/>
              <w:right w:type="dxa" w:w="120"/>
            </w:tcMar>
          </w:tcPr>
          <w:p>
            <w:r>
              <w:rPr>
                <w:b w:val="false"/>
                <w:bCs w:val="false"/>
                <w:sz w:val="20"/>
                <w:szCs w:val="20"/>
              </w:rPr>
              <w:t xml:space="preserve">0.431</w:t>
            </w:r>
          </w:p>
        </w:tc>
        <w:tc>
          <w:tcPr>
            <w:tcW w:type="dxa" w:w="1800"/>
            <w:tcMar>
              <w:top w:type="dxa" w:w="100"/>
              <w:left w:type="dxa" w:w="120"/>
              <w:bottom w:type="dxa" w:w="100"/>
              <w:right w:type="dxa" w:w="120"/>
            </w:tcMar>
          </w:tcPr>
          <w:p>
            <w:r>
              <w:rPr>
                <w:b w:val="false"/>
                <w:bCs w:val="false"/>
                <w:sz w:val="20"/>
                <w:szCs w:val="20"/>
              </w:rPr>
              <w:t xml:space="preserve">0.035</w:t>
            </w:r>
          </w:p>
        </w:tc>
      </w:tr>
      <w:tr>
        <w:tc>
          <w:tcPr>
            <w:tcW w:type="dxa" w:w="1400"/>
            <w:tcMar>
              <w:top w:type="dxa" w:w="100"/>
              <w:left w:type="dxa" w:w="120"/>
              <w:bottom w:type="dxa" w:w="100"/>
              <w:right w:type="dxa" w:w="120"/>
            </w:tcMar>
          </w:tcPr>
          <w:p>
            <w:r>
              <w:rPr>
                <w:b w:val="false"/>
                <w:bCs w:val="false"/>
                <w:sz w:val="20"/>
                <w:szCs w:val="20"/>
              </w:rPr>
              <w:t xml:space="preserve">0.1</w:t>
            </w:r>
          </w:p>
        </w:tc>
        <w:tc>
          <w:tcPr>
            <w:tcW w:type="dxa" w:w="1600"/>
            <w:tcMar>
              <w:top w:type="dxa" w:w="100"/>
              <w:left w:type="dxa" w:w="120"/>
              <w:bottom w:type="dxa" w:w="100"/>
              <w:right w:type="dxa" w:w="120"/>
            </w:tcMar>
          </w:tcPr>
          <w:p>
            <w:r>
              <w:rPr>
                <w:b w:val="false"/>
                <w:bCs w:val="false"/>
                <w:sz w:val="20"/>
                <w:szCs w:val="20"/>
              </w:rPr>
              <w:t xml:space="preserve">l1</w:t>
            </w:r>
          </w:p>
        </w:tc>
        <w:tc>
          <w:tcPr>
            <w:tcW w:type="dxa" w:w="1800"/>
            <w:tcMar>
              <w:top w:type="dxa" w:w="100"/>
              <w:left w:type="dxa" w:w="120"/>
              <w:bottom w:type="dxa" w:w="100"/>
              <w:right w:type="dxa" w:w="120"/>
            </w:tcMar>
          </w:tcPr>
          <w:p>
            <w:r>
              <w:rPr>
                <w:b w:val="false"/>
                <w:bCs w:val="false"/>
                <w:sz w:val="20"/>
                <w:szCs w:val="20"/>
              </w:rPr>
              <w:t xml:space="preserve">0.426</w:t>
            </w:r>
          </w:p>
        </w:tc>
        <w:tc>
          <w:tcPr>
            <w:tcW w:type="dxa" w:w="1800"/>
            <w:tcMar>
              <w:top w:type="dxa" w:w="100"/>
              <w:left w:type="dxa" w:w="120"/>
              <w:bottom w:type="dxa" w:w="100"/>
              <w:right w:type="dxa" w:w="120"/>
            </w:tcMar>
          </w:tcPr>
          <w:p>
            <w:r>
              <w:rPr>
                <w:b w:val="false"/>
                <w:bCs w:val="false"/>
                <w:sz w:val="20"/>
                <w:szCs w:val="20"/>
              </w:rPr>
              <w:t xml:space="preserve">0.038</w:t>
            </w:r>
          </w:p>
        </w:tc>
      </w:tr>
      <w:tr>
        <w:tc>
          <w:tcPr>
            <w:tcW w:type="dxa" w:w="1400"/>
            <w:tcMar>
              <w:top w:type="dxa" w:w="100"/>
              <w:left w:type="dxa" w:w="120"/>
              <w:bottom w:type="dxa" w:w="100"/>
              <w:right w:type="dxa" w:w="120"/>
            </w:tcMar>
          </w:tcPr>
          <w:p>
            <w:r>
              <w:rPr>
                <w:b w:val="false"/>
                <w:bCs w:val="false"/>
                <w:sz w:val="20"/>
                <w:szCs w:val="20"/>
              </w:rPr>
              <w:t xml:space="preserve">0.01</w:t>
            </w:r>
          </w:p>
        </w:tc>
        <w:tc>
          <w:tcPr>
            <w:tcW w:type="dxa" w:w="1600"/>
            <w:tcMar>
              <w:top w:type="dxa" w:w="100"/>
              <w:left w:type="dxa" w:w="120"/>
              <w:bottom w:type="dxa" w:w="100"/>
              <w:right w:type="dxa" w:w="120"/>
            </w:tcMar>
          </w:tcPr>
          <w:p>
            <w:r>
              <w:rPr>
                <w:b w:val="false"/>
                <w:bCs w:val="false"/>
                <w:sz w:val="20"/>
                <w:szCs w:val="20"/>
              </w:rPr>
              <w:t xml:space="preserve">l2</w:t>
            </w:r>
          </w:p>
        </w:tc>
        <w:tc>
          <w:tcPr>
            <w:tcW w:type="dxa" w:w="1800"/>
            <w:tcMar>
              <w:top w:type="dxa" w:w="100"/>
              <w:left w:type="dxa" w:w="120"/>
              <w:bottom w:type="dxa" w:w="100"/>
              <w:right w:type="dxa" w:w="120"/>
            </w:tcMar>
          </w:tcPr>
          <w:p>
            <w:r>
              <w:rPr>
                <w:b w:val="false"/>
                <w:bCs w:val="false"/>
                <w:sz w:val="20"/>
                <w:szCs w:val="20"/>
              </w:rPr>
              <w:t xml:space="preserve">0.402</w:t>
            </w:r>
          </w:p>
        </w:tc>
        <w:tc>
          <w:tcPr>
            <w:tcW w:type="dxa" w:w="1800"/>
            <w:tcMar>
              <w:top w:type="dxa" w:w="100"/>
              <w:left w:type="dxa" w:w="120"/>
              <w:bottom w:type="dxa" w:w="100"/>
              <w:right w:type="dxa" w:w="120"/>
            </w:tcMar>
          </w:tcPr>
          <w:p>
            <w:r>
              <w:rPr>
                <w:b w:val="false"/>
                <w:bCs w:val="false"/>
                <w:sz w:val="20"/>
                <w:szCs w:val="20"/>
              </w:rPr>
              <w:t xml:space="preserve">0.043</w:t>
            </w:r>
          </w:p>
        </w:tc>
      </w:tr>
      <w:tr>
        <w:tc>
          <w:tcPr>
            <w:tcW w:type="dxa" w:w="1400"/>
            <w:tcMar>
              <w:top w:type="dxa" w:w="100"/>
              <w:left w:type="dxa" w:w="120"/>
              <w:bottom w:type="dxa" w:w="100"/>
              <w:right w:type="dxa" w:w="120"/>
            </w:tcMar>
          </w:tcPr>
          <w:p>
            <w:r>
              <w:rPr>
                <w:b w:val="false"/>
                <w:bCs w:val="false"/>
                <w:sz w:val="20"/>
                <w:szCs w:val="20"/>
              </w:rPr>
              <w:t xml:space="preserve">0.01</w:t>
            </w:r>
          </w:p>
        </w:tc>
        <w:tc>
          <w:tcPr>
            <w:tcW w:type="dxa" w:w="1600"/>
            <w:tcMar>
              <w:top w:type="dxa" w:w="100"/>
              <w:left w:type="dxa" w:w="120"/>
              <w:bottom w:type="dxa" w:w="100"/>
              <w:right w:type="dxa" w:w="120"/>
            </w:tcMar>
          </w:tcPr>
          <w:p>
            <w:r>
              <w:rPr>
                <w:b w:val="false"/>
                <w:bCs w:val="false"/>
                <w:sz w:val="20"/>
                <w:szCs w:val="20"/>
              </w:rPr>
              <w:t xml:space="preserve">l1</w:t>
            </w:r>
          </w:p>
        </w:tc>
        <w:tc>
          <w:tcPr>
            <w:tcW w:type="dxa" w:w="1800"/>
            <w:tcMar>
              <w:top w:type="dxa" w:w="100"/>
              <w:left w:type="dxa" w:w="120"/>
              <w:bottom w:type="dxa" w:w="100"/>
              <w:right w:type="dxa" w:w="120"/>
            </w:tcMar>
          </w:tcPr>
          <w:p>
            <w:r>
              <w:rPr>
                <w:b w:val="false"/>
                <w:bCs w:val="false"/>
                <w:sz w:val="20"/>
                <w:szCs w:val="20"/>
              </w:rPr>
              <w:t xml:space="preserve">0.353</w:t>
            </w:r>
          </w:p>
        </w:tc>
        <w:tc>
          <w:tcPr>
            <w:tcW w:type="dxa" w:w="1800"/>
            <w:tcMar>
              <w:top w:type="dxa" w:w="100"/>
              <w:left w:type="dxa" w:w="120"/>
              <w:bottom w:type="dxa" w:w="100"/>
              <w:right w:type="dxa" w:w="120"/>
            </w:tcMar>
          </w:tcPr>
          <w:p>
            <w:r>
              <w:rPr>
                <w:b w:val="false"/>
                <w:bCs w:val="false"/>
                <w:sz w:val="20"/>
                <w:szCs w:val="20"/>
              </w:rPr>
              <w:t xml:space="preserve">0.031</w:t>
            </w:r>
          </w:p>
        </w:tc>
      </w:tr>
    </w:tbl>
    <w:p>
      <w:pPr>
        <w:spacing w:after="200"/>
      </w:pPr>
    </w:p>
    <w:p>
      <w:pPr>
        <w:spacing w:after="160"/>
      </w:pPr>
      <w:r>
        <w:t xml:space="preserve">Every configuration scored within a narrow 0.353–0.435 F1 range. This itself is a meaningful finding: Logistic Regression's performance here is not highly sensitive to regularization strength or type, suggesting the model's ceiling is set more by its linear structure and the feature set than by under- or over-regularization.</w:t>
      </w:r>
    </w:p>
    <w:p>
      <w:pPr>
        <w:spacing w:after="160"/>
      </w:pPr>
      <w:r>
        <w:t xml:space="preserve">On the held-out test set, the tuned model scored: Accuracy 0.839, Precision 0.356, Recall 0.589, F1 0.444, ROC-AUC 0.787.</w:t>
      </w:r>
    </w:p>
    <w:p>
      <w:pPr>
        <w:spacing w:after="160"/>
      </w:pPr>
      <w:r>
        <w:rPr>
          <w:b/>
          <w:bCs/>
        </w:rPr>
        <w:t xml:space="preserve">Honest finding: </w:t>
      </w:r>
      <w:r>
        <w:t xml:space="preserve">the tuned model does not clearly beat the Week 4 untuned baseline (test F1 0.460, recall 0.600) despite a marginally higher CV F1 (0.435 vs. 0.427). This demonstrates that for this model and feature set, hyperparameter tuning alone has largely plateaued — a genuinely useful negative result, not a failure of the experiment.</w:t>
      </w:r>
    </w:p>
    <w:p>
      <w:pPr>
        <w:pStyle w:val="Heading2"/>
        <w:spacing w:after="120" w:before="240"/>
      </w:pPr>
      <w:r>
        <w:t xml:space="preserve">4.2 Random Search: Random Forest</w:t>
      </w:r>
    </w:p>
    <w:p>
      <w:pPr>
        <w:spacing w:after="160"/>
      </w:pPr>
      <w:r>
        <w:t xml:space="preserve">Best configuration: n_estimators=500, max_depth=6, min_samples_leaf=2, max_features='log2' (CV F1 = 0.489 — the highest of any configuration tested across both experiments).</w:t>
      </w:r>
    </w:p>
    <w:p>
      <w:pPr>
        <w:spacing w:after="160"/>
      </w:pPr>
      <w:r>
        <w:t xml:space="preserve">On the held-out test set: Accuracy 0.875, Precision 0.439, Recall 0.522, F1 0.477, ROC-AUC 0.792.</w:t>
      </w:r>
    </w:p>
    <w:p>
      <w:pPr>
        <w:pStyle w:val="Heading1"/>
        <w:spacing w:after="160" w:before="360"/>
      </w:pPr>
      <w:r>
        <w:t xml:space="preserve">5. Revisiting the Week 4 Near-Identical FN/FP Pair</w:t>
      </w:r>
    </w:p>
    <w:p>
      <w:pPr>
        <w:spacing w:after="160"/>
      </w:pPr>
      <w:r>
        <w:t xml:space="preserve">The specific false negative (idx 179) and false positive (idx 2295) clients that Logistic Regression could not distinguish in Week 4 were tested directly against the tuned Random Forest: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Week 4 False Negative (idx 179): actual=1  RF_predicted=0  RF_probability=0.292</w:t>
      </w:r>
      <w:r>
        <w:rPr>
          <w:rFonts w:ascii="Consolas" w:cs="Consolas" w:eastAsia="Consolas" w:hAnsi="Consolas"/>
          <w:sz w:val="18"/>
          <w:szCs w:val="18"/>
        </w:rPr>
        <w:br/>
        <w:t xml:space="preserve">Week 4 False Positive (idx 2295): actual=0  RF_predicted=0  RF_probability=0.341</w:t>
      </w:r>
    </w:p>
    <w:p>
      <w:pPr>
        <w:spacing w:after="160"/>
      </w:pPr>
      <w:r>
        <w:t xml:space="preserve">A genuinely mixed result: the Random Forest correctly resolves the false positive (0.341 probability, correctly below threshold) but still misses the false negative (0.292 probability, still below threshold despite the true label being "yes"). Switching model types fixed one of the two problem cases but not the other. This suggests the false negative genuinely lacks sufficient signal in the available features — no reasonably-sized model change resolves it — while the false positive was more of a borderline calibration issue that a non-linear decision boundary could correct.</w:t>
      </w:r>
    </w:p>
    <w:p>
      <w:pPr>
        <w:pStyle w:val="Heading1"/>
        <w:spacing w:after="160" w:before="360"/>
      </w:pPr>
      <w:r>
        <w:t xml:space="preserve">6. Feature Importance Comparison</w:t>
      </w:r>
    </w:p>
    <w:p>
      <w:pPr>
        <w:spacing w:after="160"/>
      </w:pPr>
      <w:r>
        <w:t xml:space="preserve">Random Forest's top features by importance: nr.employed (0.164), euribor3m (0.157), emp.var.rate (0.121) — the three socio-economic indicators combined account for over 44% of total importance, followed by cons.conf.idx (0.063) and contacted_before (0.050).</w:t>
      </w:r>
    </w:p>
    <w:p>
      <w:pPr>
        <w:spacing w:after="160"/>
      </w:pPr>
      <w:r>
        <w:t xml:space="preserve">This is a different lens than Logistic Regression's top coefficients (Week 4), which were dominated by categorical indicators like month_mar and job_unknown. Both models agree that macroeconomic context matters, but disagree on exactly which features carry the most signal — a useful caveat against over-trusting any single model's "explanation" of the data, and a genuinely interesting cross-model finding rather than a restated assumption.</w:t>
      </w:r>
    </w:p>
    <w:p>
      <w:pPr>
        <w:pStyle w:val="Heading1"/>
        <w:spacing w:after="160" w:before="360"/>
      </w:pPr>
      <w:r>
        <w:t xml:space="preserve">7. Experiment Comparison and Overfitting Check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000"/>
        <w:gridCol w:w="1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1000"/>
            <w:shd w:fill="1F3864" w:val="clear"/>
            <w:tcMar>
              <w:top w:type="dxa" w:w="100"/>
              <w:left w:type="dxa" w:w="120"/>
              <w:bottom w:type="dxa" w:w="100"/>
              <w:right w:type="dxa" w:w="120"/>
            </w:tcMar>
          </w:tcPr>
          <w:p>
            <w:r>
              <w:rPr>
                <w:b/>
                <w:bCs/>
                <w:color w:val="FFFFFF"/>
                <w:sz w:val="20"/>
                <w:szCs w:val="20"/>
              </w:rPr>
              <w:t xml:space="preserve">CV F1</w:t>
            </w:r>
          </w:p>
        </w:tc>
        <w:tc>
          <w:tcPr>
            <w:tcW w:type="dxa" w:w="1000"/>
            <w:shd w:fill="1F3864" w:val="clear"/>
            <w:tcMar>
              <w:top w:type="dxa" w:w="100"/>
              <w:left w:type="dxa" w:w="120"/>
              <w:bottom w:type="dxa" w:w="100"/>
              <w:right w:type="dxa" w:w="120"/>
            </w:tcMar>
          </w:tcPr>
          <w:p>
            <w:r>
              <w:rPr>
                <w:b/>
                <w:bCs/>
                <w:color w:val="FFFFFF"/>
                <w:sz w:val="20"/>
                <w:szCs w:val="20"/>
              </w:rPr>
              <w:t xml:space="preserve">Accuracy</w:t>
            </w:r>
          </w:p>
        </w:tc>
        <w:tc>
          <w:tcPr>
            <w:tcW w:type="dxa" w:w="1000"/>
            <w:shd w:fill="1F3864" w:val="clear"/>
            <w:tcMar>
              <w:top w:type="dxa" w:w="100"/>
              <w:left w:type="dxa" w:w="120"/>
              <w:bottom w:type="dxa" w:w="100"/>
              <w:right w:type="dxa" w:w="120"/>
            </w:tcMar>
          </w:tcPr>
          <w:p>
            <w:r>
              <w:rPr>
                <w:b/>
                <w:bCs/>
                <w:color w:val="FFFFFF"/>
                <w:sz w:val="20"/>
                <w:szCs w:val="20"/>
              </w:rPr>
              <w:t xml:space="preserve">Precision</w:t>
            </w:r>
          </w:p>
        </w:tc>
        <w:tc>
          <w:tcPr>
            <w:tcW w:type="dxa" w:w="1000"/>
            <w:shd w:fill="1F3864" w:val="clear"/>
            <w:tcMar>
              <w:top w:type="dxa" w:w="100"/>
              <w:left w:type="dxa" w:w="120"/>
              <w:bottom w:type="dxa" w:w="100"/>
              <w:right w:type="dxa" w:w="120"/>
            </w:tcMar>
          </w:tcPr>
          <w:p>
            <w:r>
              <w:rPr>
                <w:b/>
                <w:bCs/>
                <w:color w:val="FFFFFF"/>
                <w:sz w:val="20"/>
                <w:szCs w:val="20"/>
              </w:rPr>
              <w:t xml:space="preserve">Recall</w:t>
            </w:r>
          </w:p>
        </w:tc>
        <w:tc>
          <w:tcPr>
            <w:tcW w:type="dxa" w:w="1000"/>
            <w:shd w:fill="1F3864" w:val="clear"/>
            <w:tcMar>
              <w:top w:type="dxa" w:w="100"/>
              <w:left w:type="dxa" w:w="120"/>
              <w:bottom w:type="dxa" w:w="100"/>
              <w:right w:type="dxa" w:w="120"/>
            </w:tcMar>
          </w:tcPr>
          <w:p>
            <w:r>
              <w:rPr>
                <w:b/>
                <w:bCs/>
                <w:color w:val="FFFFFF"/>
                <w:sz w:val="20"/>
                <w:szCs w:val="20"/>
              </w:rPr>
              <w:t xml:space="preserve">F1</w:t>
            </w:r>
          </w:p>
        </w:tc>
        <w:tc>
          <w:tcPr>
            <w:tcW w:type="dxa" w:w="1200"/>
            <w:shd w:fill="1F3864" w:val="clear"/>
            <w:tcMar>
              <w:top w:type="dxa" w:w="100"/>
              <w:left w:type="dxa" w:w="120"/>
              <w:bottom w:type="dxa" w:w="100"/>
              <w:right w:type="dxa" w:w="120"/>
            </w:tcMar>
          </w:tcPr>
          <w:p>
            <w:r>
              <w:rPr>
                <w:b/>
                <w:bCs/>
                <w:color w:val="FFFFFF"/>
                <w:sz w:val="20"/>
                <w:szCs w:val="20"/>
              </w:rPr>
              <w:t xml:space="preserve">ROC-AUC</w:t>
            </w:r>
          </w:p>
        </w:tc>
      </w:tr>
      <w:tr>
        <w:tc>
          <w:tcPr>
            <w:tcW w:type="dxa" w:w="2600"/>
            <w:tcMar>
              <w:top w:type="dxa" w:w="100"/>
              <w:left w:type="dxa" w:w="120"/>
              <w:bottom w:type="dxa" w:w="100"/>
              <w:right w:type="dxa" w:w="120"/>
            </w:tcMar>
          </w:tcPr>
          <w:p>
            <w:r>
              <w:rPr>
                <w:b w:val="false"/>
                <w:bCs w:val="false"/>
                <w:sz w:val="20"/>
                <w:szCs w:val="20"/>
              </w:rPr>
              <w:t xml:space="preserve">Week 4 Baseline (LR, untuned)</w:t>
            </w:r>
          </w:p>
        </w:tc>
        <w:tc>
          <w:tcPr>
            <w:tcW w:type="dxa" w:w="1000"/>
            <w:tcMar>
              <w:top w:type="dxa" w:w="100"/>
              <w:left w:type="dxa" w:w="120"/>
              <w:bottom w:type="dxa" w:w="100"/>
              <w:right w:type="dxa" w:w="120"/>
            </w:tcMar>
          </w:tcPr>
          <w:p>
            <w:r>
              <w:rPr>
                <w:b w:val="false"/>
                <w:bCs w:val="false"/>
                <w:sz w:val="20"/>
                <w:szCs w:val="20"/>
              </w:rPr>
              <w:t xml:space="preserve">0.427</w:t>
            </w:r>
          </w:p>
        </w:tc>
        <w:tc>
          <w:tcPr>
            <w:tcW w:type="dxa" w:w="1000"/>
            <w:tcMar>
              <w:top w:type="dxa" w:w="100"/>
              <w:left w:type="dxa" w:w="120"/>
              <w:bottom w:type="dxa" w:w="100"/>
              <w:right w:type="dxa" w:w="120"/>
            </w:tcMar>
          </w:tcPr>
          <w:p>
            <w:r>
              <w:rPr>
                <w:b w:val="false"/>
                <w:bCs w:val="false"/>
                <w:sz w:val="20"/>
                <w:szCs w:val="20"/>
              </w:rPr>
              <w:t xml:space="preserve">0.846</w:t>
            </w:r>
          </w:p>
        </w:tc>
        <w:tc>
          <w:tcPr>
            <w:tcW w:type="dxa" w:w="1000"/>
            <w:tcMar>
              <w:top w:type="dxa" w:w="100"/>
              <w:left w:type="dxa" w:w="120"/>
              <w:bottom w:type="dxa" w:w="100"/>
              <w:right w:type="dxa" w:w="120"/>
            </w:tcMar>
          </w:tcPr>
          <w:p>
            <w:r>
              <w:rPr>
                <w:b w:val="false"/>
                <w:bCs w:val="false"/>
                <w:sz w:val="20"/>
                <w:szCs w:val="20"/>
              </w:rPr>
              <w:t xml:space="preserve">0.372</w:t>
            </w:r>
          </w:p>
        </w:tc>
        <w:tc>
          <w:tcPr>
            <w:tcW w:type="dxa" w:w="1000"/>
            <w:tcMar>
              <w:top w:type="dxa" w:w="100"/>
              <w:left w:type="dxa" w:w="120"/>
              <w:bottom w:type="dxa" w:w="100"/>
              <w:right w:type="dxa" w:w="120"/>
            </w:tcMar>
          </w:tcPr>
          <w:p>
            <w:r>
              <w:rPr>
                <w:b w:val="false"/>
                <w:bCs w:val="false"/>
                <w:sz w:val="20"/>
                <w:szCs w:val="20"/>
              </w:rPr>
              <w:t xml:space="preserve">0.600</w:t>
            </w:r>
          </w:p>
        </w:tc>
        <w:tc>
          <w:tcPr>
            <w:tcW w:type="dxa" w:w="1000"/>
            <w:tcMar>
              <w:top w:type="dxa" w:w="100"/>
              <w:left w:type="dxa" w:w="120"/>
              <w:bottom w:type="dxa" w:w="100"/>
              <w:right w:type="dxa" w:w="120"/>
            </w:tcMar>
          </w:tcPr>
          <w:p>
            <w:r>
              <w:rPr>
                <w:b w:val="false"/>
                <w:bCs w:val="false"/>
                <w:sz w:val="20"/>
                <w:szCs w:val="20"/>
              </w:rPr>
              <w:t xml:space="preserve">0.460</w:t>
            </w:r>
          </w:p>
        </w:tc>
        <w:tc>
          <w:tcPr>
            <w:tcW w:type="dxa" w:w="1200"/>
            <w:tcMar>
              <w:top w:type="dxa" w:w="100"/>
              <w:left w:type="dxa" w:w="120"/>
              <w:bottom w:type="dxa" w:w="100"/>
              <w:right w:type="dxa" w:w="120"/>
            </w:tcMar>
          </w:tcPr>
          <w:p>
            <w:r>
              <w:rPr>
                <w:b w:val="false"/>
                <w:bCs w:val="false"/>
                <w:sz w:val="20"/>
                <w:szCs w:val="20"/>
              </w:rPr>
              <w:t xml:space="preserve">0.772</w:t>
            </w:r>
          </w:p>
        </w:tc>
      </w:tr>
      <w:tr>
        <w:tc>
          <w:tcPr>
            <w:tcW w:type="dxa" w:w="2600"/>
            <w:tcMar>
              <w:top w:type="dxa" w:w="100"/>
              <w:left w:type="dxa" w:w="120"/>
              <w:bottom w:type="dxa" w:w="100"/>
              <w:right w:type="dxa" w:w="120"/>
            </w:tcMar>
          </w:tcPr>
          <w:p>
            <w:r>
              <w:rPr>
                <w:b w:val="false"/>
                <w:bCs w:val="false"/>
                <w:sz w:val="20"/>
                <w:szCs w:val="20"/>
              </w:rPr>
              <w:t xml:space="preserve">Tuned Logistic Regression</w:t>
            </w:r>
          </w:p>
        </w:tc>
        <w:tc>
          <w:tcPr>
            <w:tcW w:type="dxa" w:w="1000"/>
            <w:tcMar>
              <w:top w:type="dxa" w:w="100"/>
              <w:left w:type="dxa" w:w="120"/>
              <w:bottom w:type="dxa" w:w="100"/>
              <w:right w:type="dxa" w:w="120"/>
            </w:tcMar>
          </w:tcPr>
          <w:p>
            <w:r>
              <w:rPr>
                <w:b w:val="false"/>
                <w:bCs w:val="false"/>
                <w:sz w:val="20"/>
                <w:szCs w:val="20"/>
              </w:rPr>
              <w:t xml:space="preserve">0.435</w:t>
            </w:r>
          </w:p>
        </w:tc>
        <w:tc>
          <w:tcPr>
            <w:tcW w:type="dxa" w:w="1000"/>
            <w:tcMar>
              <w:top w:type="dxa" w:w="100"/>
              <w:left w:type="dxa" w:w="120"/>
              <w:bottom w:type="dxa" w:w="100"/>
              <w:right w:type="dxa" w:w="120"/>
            </w:tcMar>
          </w:tcPr>
          <w:p>
            <w:r>
              <w:rPr>
                <w:b w:val="false"/>
                <w:bCs w:val="false"/>
                <w:sz w:val="20"/>
                <w:szCs w:val="20"/>
              </w:rPr>
              <w:t xml:space="preserve">0.839</w:t>
            </w:r>
          </w:p>
        </w:tc>
        <w:tc>
          <w:tcPr>
            <w:tcW w:type="dxa" w:w="1000"/>
            <w:tcMar>
              <w:top w:type="dxa" w:w="100"/>
              <w:left w:type="dxa" w:w="120"/>
              <w:bottom w:type="dxa" w:w="100"/>
              <w:right w:type="dxa" w:w="120"/>
            </w:tcMar>
          </w:tcPr>
          <w:p>
            <w:r>
              <w:rPr>
                <w:b w:val="false"/>
                <w:bCs w:val="false"/>
                <w:sz w:val="20"/>
                <w:szCs w:val="20"/>
              </w:rPr>
              <w:t xml:space="preserve">0.356</w:t>
            </w:r>
          </w:p>
        </w:tc>
        <w:tc>
          <w:tcPr>
            <w:tcW w:type="dxa" w:w="1000"/>
            <w:tcMar>
              <w:top w:type="dxa" w:w="100"/>
              <w:left w:type="dxa" w:w="120"/>
              <w:bottom w:type="dxa" w:w="100"/>
              <w:right w:type="dxa" w:w="120"/>
            </w:tcMar>
          </w:tcPr>
          <w:p>
            <w:r>
              <w:rPr>
                <w:b w:val="false"/>
                <w:bCs w:val="false"/>
                <w:sz w:val="20"/>
                <w:szCs w:val="20"/>
              </w:rPr>
              <w:t xml:space="preserve">0.589</w:t>
            </w:r>
          </w:p>
        </w:tc>
        <w:tc>
          <w:tcPr>
            <w:tcW w:type="dxa" w:w="1000"/>
            <w:tcMar>
              <w:top w:type="dxa" w:w="100"/>
              <w:left w:type="dxa" w:w="120"/>
              <w:bottom w:type="dxa" w:w="100"/>
              <w:right w:type="dxa" w:w="120"/>
            </w:tcMar>
          </w:tcPr>
          <w:p>
            <w:r>
              <w:rPr>
                <w:b w:val="false"/>
                <w:bCs w:val="false"/>
                <w:sz w:val="20"/>
                <w:szCs w:val="20"/>
              </w:rPr>
              <w:t xml:space="preserve">0.444</w:t>
            </w:r>
          </w:p>
        </w:tc>
        <w:tc>
          <w:tcPr>
            <w:tcW w:type="dxa" w:w="1200"/>
            <w:tcMar>
              <w:top w:type="dxa" w:w="100"/>
              <w:left w:type="dxa" w:w="120"/>
              <w:bottom w:type="dxa" w:w="100"/>
              <w:right w:type="dxa" w:w="120"/>
            </w:tcMar>
          </w:tcPr>
          <w:p>
            <w:r>
              <w:rPr>
                <w:b w:val="false"/>
                <w:bCs w:val="false"/>
                <w:sz w:val="20"/>
                <w:szCs w:val="20"/>
              </w:rPr>
              <w:t xml:space="preserve">0.787</w:t>
            </w:r>
          </w:p>
        </w:tc>
      </w:tr>
      <w:tr>
        <w:tc>
          <w:tcPr>
            <w:tcW w:type="dxa" w:w="2600"/>
            <w:shd w:fill="E8EEF7" w:val="clear"/>
            <w:tcMar>
              <w:top w:type="dxa" w:w="100"/>
              <w:left w:type="dxa" w:w="120"/>
              <w:bottom w:type="dxa" w:w="100"/>
              <w:right w:type="dxa" w:w="120"/>
            </w:tcMar>
          </w:tcPr>
          <w:p>
            <w:r>
              <w:rPr>
                <w:b w:val="false"/>
                <w:bCs w:val="false"/>
                <w:sz w:val="20"/>
                <w:szCs w:val="20"/>
              </w:rPr>
              <w:t xml:space="preserve">Tuned Random Forest</w:t>
            </w:r>
          </w:p>
        </w:tc>
        <w:tc>
          <w:tcPr>
            <w:tcW w:type="dxa" w:w="1000"/>
            <w:shd w:fill="E8EEF7" w:val="clear"/>
            <w:tcMar>
              <w:top w:type="dxa" w:w="100"/>
              <w:left w:type="dxa" w:w="120"/>
              <w:bottom w:type="dxa" w:w="100"/>
              <w:right w:type="dxa" w:w="120"/>
            </w:tcMar>
          </w:tcPr>
          <w:p>
            <w:r>
              <w:rPr>
                <w:b w:val="false"/>
                <w:bCs w:val="false"/>
                <w:sz w:val="20"/>
                <w:szCs w:val="20"/>
              </w:rPr>
              <w:t xml:space="preserve">0.489</w:t>
            </w:r>
          </w:p>
        </w:tc>
        <w:tc>
          <w:tcPr>
            <w:tcW w:type="dxa" w:w="1000"/>
            <w:shd w:fill="E8EEF7" w:val="clear"/>
            <w:tcMar>
              <w:top w:type="dxa" w:w="100"/>
              <w:left w:type="dxa" w:w="120"/>
              <w:bottom w:type="dxa" w:w="100"/>
              <w:right w:type="dxa" w:w="120"/>
            </w:tcMar>
          </w:tcPr>
          <w:p>
            <w:r>
              <w:rPr>
                <w:b w:val="false"/>
                <w:bCs w:val="false"/>
                <w:sz w:val="20"/>
                <w:szCs w:val="20"/>
              </w:rPr>
              <w:t xml:space="preserve">0.875</w:t>
            </w:r>
          </w:p>
        </w:tc>
        <w:tc>
          <w:tcPr>
            <w:tcW w:type="dxa" w:w="1000"/>
            <w:shd w:fill="E8EEF7" w:val="clear"/>
            <w:tcMar>
              <w:top w:type="dxa" w:w="100"/>
              <w:left w:type="dxa" w:w="120"/>
              <w:bottom w:type="dxa" w:w="100"/>
              <w:right w:type="dxa" w:w="120"/>
            </w:tcMar>
          </w:tcPr>
          <w:p>
            <w:r>
              <w:rPr>
                <w:b w:val="false"/>
                <w:bCs w:val="false"/>
                <w:sz w:val="20"/>
                <w:szCs w:val="20"/>
              </w:rPr>
              <w:t xml:space="preserve">0.439</w:t>
            </w:r>
          </w:p>
        </w:tc>
        <w:tc>
          <w:tcPr>
            <w:tcW w:type="dxa" w:w="1000"/>
            <w:shd w:fill="E8EEF7" w:val="clear"/>
            <w:tcMar>
              <w:top w:type="dxa" w:w="100"/>
              <w:left w:type="dxa" w:w="120"/>
              <w:bottom w:type="dxa" w:w="100"/>
              <w:right w:type="dxa" w:w="120"/>
            </w:tcMar>
          </w:tcPr>
          <w:p>
            <w:r>
              <w:rPr>
                <w:b w:val="false"/>
                <w:bCs w:val="false"/>
                <w:sz w:val="20"/>
                <w:szCs w:val="20"/>
              </w:rPr>
              <w:t xml:space="preserve">0.522</w:t>
            </w:r>
          </w:p>
        </w:tc>
        <w:tc>
          <w:tcPr>
            <w:tcW w:type="dxa" w:w="1000"/>
            <w:shd w:fill="E8EEF7" w:val="clear"/>
            <w:tcMar>
              <w:top w:type="dxa" w:w="100"/>
              <w:left w:type="dxa" w:w="120"/>
              <w:bottom w:type="dxa" w:w="100"/>
              <w:right w:type="dxa" w:w="120"/>
            </w:tcMar>
          </w:tcPr>
          <w:p>
            <w:r>
              <w:rPr>
                <w:b w:val="false"/>
                <w:bCs w:val="false"/>
                <w:sz w:val="20"/>
                <w:szCs w:val="20"/>
              </w:rPr>
              <w:t xml:space="preserve">0.477</w:t>
            </w:r>
          </w:p>
        </w:tc>
        <w:tc>
          <w:tcPr>
            <w:tcW w:type="dxa" w:w="1200"/>
            <w:shd w:fill="E8EEF7" w:val="clear"/>
            <w:tcMar>
              <w:top w:type="dxa" w:w="100"/>
              <w:left w:type="dxa" w:w="120"/>
              <w:bottom w:type="dxa" w:w="100"/>
              <w:right w:type="dxa" w:w="120"/>
            </w:tcMar>
          </w:tcPr>
          <w:p>
            <w:r>
              <w:rPr>
                <w:b w:val="false"/>
                <w:bCs w:val="false"/>
                <w:sz w:val="20"/>
                <w:szCs w:val="20"/>
              </w:rPr>
              <w:t xml:space="preserve">0.792</w:t>
            </w:r>
          </w:p>
        </w:tc>
      </w:tr>
    </w:tbl>
    <w:p>
      <w:pPr>
        <w:spacing w:after="200"/>
      </w:pPr>
    </w:p>
    <w:p>
      <w:pPr>
        <w:spacing w:after="160"/>
      </w:pPr>
      <w:r>
        <w:t xml:space="preserve">No single model wins on every metric. Random Forest achieves the best F1, precision, accuracy, and ROC-AUC, but at a real cost to recall — the metric Week 4 argued matters most for this business problem, since missing a genuine subscriber was judged costlier than one extra unsuccessful call.</w:t>
      </w:r>
    </w:p>
    <w:p>
      <w:pPr>
        <w:pStyle w:val="Heading2"/>
        <w:spacing w:after="120" w:before="240"/>
      </w:pPr>
      <w:r>
        <w:t xml:space="preserve">Guarding Against Overfitting During the Search</w:t>
      </w:r>
    </w:p>
    <w:p>
      <w:pPr>
        <w:pStyle w:val="ListParagraph"/>
        <w:numPr>
          <w:ilvl w:val="0"/>
          <w:numId w:val="2"/>
        </w:numPr>
        <w:spacing w:after="80"/>
      </w:pPr>
      <w:r>
        <w:t xml:space="preserve">Cross-validation was used to select the best configuration in both searches, not a single validation score, reducing the risk of picking a configuration that is only accidentally good on one split.</w:t>
      </w:r>
    </w:p>
    <w:p>
      <w:pPr>
        <w:pStyle w:val="ListParagraph"/>
        <w:numPr>
          <w:ilvl w:val="0"/>
          <w:numId w:val="2"/>
        </w:numPr>
        <w:spacing w:after="80"/>
      </w:pPr>
      <w:r>
        <w:t xml:space="preserve">The held-out test set was touched only once per model, after the search concluded — never used to select hyperparameters.</w:t>
      </w:r>
    </w:p>
    <w:p>
      <w:pPr>
        <w:pStyle w:val="ListParagraph"/>
        <w:numPr>
          <w:ilvl w:val="0"/>
          <w:numId w:val="2"/>
        </w:numPr>
        <w:spacing w:after="80"/>
      </w:pPr>
      <w:r>
        <w:t xml:space="preserve">Random Forest's own regularization parameters (max_depth, min_samples_leaf) were included in the search specifically to prevent unconstrained, fully-deep trees — the classic Random Forest overfitting failure mode.</w:t>
      </w:r>
    </w:p>
    <w:p>
      <w:pPr>
        <w:pStyle w:val="ListParagraph"/>
        <w:numPr>
          <w:ilvl w:val="0"/>
          <w:numId w:val="2"/>
        </w:numPr>
        <w:spacing w:after="80"/>
      </w:pPr>
      <w:r>
        <w:t xml:space="preserve">The gap between CV score and test score was checked for both models (LR: 0.435 vs. 0.444; RF: 0.489 vs. 0.477) — both are close, indicating neither tuned model overfit to its cross-validation folds.</w:t>
      </w:r>
    </w:p>
    <w:p>
      <w:pPr>
        <w:pStyle w:val="Heading1"/>
        <w:spacing w:after="160" w:before="360"/>
      </w:pPr>
      <w:r>
        <w:t xml:space="preserve">8. Conclusion and Recommendation</w:t>
      </w:r>
    </w:p>
    <w:p>
      <w:pPr>
        <w:spacing w:after="160"/>
      </w:pPr>
      <w:r>
        <w:t xml:space="preserve">Given Week 4's explicit prioritization of recall, the Week 4 Logistic Regression baseline remains the recommended model, despite Random Forest's stronger showing on F1, precision, and accuracy. This was not the expected outcome going into this experiment — the working hypothesis was that a non-linear model would clearly outperform. The actual result is more nuanced: optimization surfaced a genuine trade-off rather than a clear winner, and the choice between the two models is ultimately a business decision about the relative cost of false positives versus false negatives, not a purely technical one.</w:t>
      </w:r>
    </w:p>
    <w:p>
      <w:pPr>
        <w:pStyle w:val="Heading2"/>
        <w:spacing w:after="120" w:before="240"/>
      </w:pPr>
      <w:r>
        <w:t xml:space="preserve">Potential Further Improvements</w:t>
      </w:r>
    </w:p>
    <w:p>
      <w:pPr>
        <w:pStyle w:val="ListParagraph"/>
        <w:numPr>
          <w:ilvl w:val="0"/>
          <w:numId w:val="2"/>
        </w:numPr>
        <w:spacing w:after="80"/>
      </w:pPr>
      <w:r>
        <w:t xml:space="preserve">Engineer non-linear representations of age (binning or polynomial terms) to test whether Logistic Regression's linearity assumption, flagged as a limitation in Week 4, is costing recall specifically.</w:t>
      </w:r>
    </w:p>
    <w:p>
      <w:pPr>
        <w:pStyle w:val="ListParagraph"/>
        <w:numPr>
          <w:ilvl w:val="0"/>
          <w:numId w:val="2"/>
        </w:numPr>
        <w:spacing w:after="80"/>
      </w:pPr>
      <w:r>
        <w:t xml:space="preserve">Test an explicit cost-weighted scoring function (rather than F1) that reflects a real business ratio between false positive and false negative cost, once that ratio is established.</w:t>
      </w:r>
    </w:p>
    <w:p>
      <w:pPr>
        <w:pStyle w:val="ListParagraph"/>
        <w:numPr>
          <w:ilvl w:val="0"/>
          <w:numId w:val="2"/>
        </w:numPr>
        <w:spacing w:after="80"/>
      </w:pPr>
      <w:r>
        <w:t xml:space="preserve">Try SMOTE or other resampling techniques as an alternative to class_weight='balanced', to see whether they shift the precision/recall trade-off more favorably than either model tested here.</w:t>
      </w:r>
    </w:p>
    <w:p>
      <w:pPr>
        <w:pStyle w:val="ListParagraph"/>
        <w:numPr>
          <w:ilvl w:val="0"/>
          <w:numId w:val="2"/>
        </w:numPr>
        <w:spacing w:after="80"/>
      </w:pPr>
      <w:r>
        <w:t xml:space="preserve">Given more compute budget, extend the Random Forest search or compare against gradient boosting (e.g. XGBoost), which often outperforms Random Forest on tabular data of this kind.</w:t>
      </w:r>
    </w:p>
    <w:p>
      <w:pPr>
        <w:spacing w:after="160"/>
      </w:pPr>
      <w:r>
        <w:t xml:space="preserve">This recommendation, and the reasoning behind it, carries directly into the Week 6 final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2026-09-25T11:22:00.545Z</dcterms:created>
  <dcterms:modified xsi:type="dcterms:W3CDTF">2026-09-25T11:22:00.553Z</dcterms:modified>
</cp:coreProperties>
</file>

<file path=docProps/custom.xml><?xml version="1.0" encoding="utf-8"?>
<Properties xmlns="http://schemas.openxmlformats.org/officeDocument/2006/custom-properties" xmlns:vt="http://schemas.openxmlformats.org/officeDocument/2006/docPropsVTypes"/>
</file>