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C9E7" w14:textId="0AE6CC09" w:rsidR="00F17538" w:rsidRPr="00302C4A" w:rsidRDefault="00255A50" w:rsidP="00302C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2C4A">
        <w:rPr>
          <w:rFonts w:ascii="Times New Roman" w:hAnsi="Times New Roman" w:cs="Times New Roman"/>
          <w:b/>
          <w:bCs/>
          <w:sz w:val="32"/>
          <w:szCs w:val="32"/>
        </w:rPr>
        <w:t>Construção do questionário de validação do MMBN-CAS</w:t>
      </w:r>
    </w:p>
    <w:p w14:paraId="2336DD1D" w14:textId="77777777" w:rsidR="00B04C05" w:rsidRDefault="00B04C05">
      <w:pPr>
        <w:rPr>
          <w:rFonts w:ascii="Times New Roman" w:hAnsi="Times New Roman" w:cs="Times New Roman"/>
          <w:sz w:val="24"/>
          <w:szCs w:val="24"/>
        </w:rPr>
      </w:pPr>
    </w:p>
    <w:p w14:paraId="0445AE9E" w14:textId="32B4C8E3" w:rsidR="00B04C05" w:rsidRPr="00011C12" w:rsidRDefault="00B04C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1C12">
        <w:rPr>
          <w:rFonts w:ascii="Times New Roman" w:hAnsi="Times New Roman" w:cs="Times New Roman"/>
          <w:b/>
          <w:bCs/>
          <w:sz w:val="24"/>
          <w:szCs w:val="24"/>
        </w:rPr>
        <w:t>Designações:</w:t>
      </w:r>
    </w:p>
    <w:p w14:paraId="6CCF30FC" w14:textId="0CBB79D6" w:rsidR="00B04C05" w:rsidRDefault="00B04C05" w:rsidP="00B04C0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Avaliar os critérios elegíveis para serem inclusos no questionário;</w:t>
      </w:r>
    </w:p>
    <w:p w14:paraId="4F4E7A4E" w14:textId="6F0F3994" w:rsidR="00B04C05" w:rsidRDefault="00B04C05" w:rsidP="00B04C0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Tratar os dados em máquina para encontrar o modelo adequado de questionário;</w:t>
      </w:r>
    </w:p>
    <w:p w14:paraId="270C11B4" w14:textId="7D2FB70E" w:rsidR="00B04C05" w:rsidRDefault="00B04C05" w:rsidP="00B04C0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Simular aplicações em perfis de respondentes (empresas) diferentes para validar teoricamente o questionário;</w:t>
      </w:r>
    </w:p>
    <w:p w14:paraId="17950C24" w14:textId="2C08779E" w:rsidR="00B04C05" w:rsidRPr="00B04C05" w:rsidRDefault="00B04C05" w:rsidP="00B04C05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Identificar o modelo de questionário ideal para aplicação</w:t>
      </w:r>
      <w:r w:rsidR="00041DFC">
        <w:rPr>
          <w:rFonts w:ascii="Times New Roman" w:hAnsi="Times New Roman" w:cs="Times New Roman"/>
          <w:sz w:val="24"/>
          <w:szCs w:val="24"/>
        </w:rPr>
        <w:t xml:space="preserve">, com objetivo de atestar o nível de maturidade blockchain do caso real inserido no contexto agroalimentar sustentável. </w:t>
      </w:r>
    </w:p>
    <w:p w14:paraId="53E5BA49" w14:textId="77777777" w:rsidR="00255A50" w:rsidRPr="00255A50" w:rsidRDefault="00255A50">
      <w:pPr>
        <w:rPr>
          <w:rFonts w:ascii="Times New Roman" w:hAnsi="Times New Roman" w:cs="Times New Roman"/>
          <w:sz w:val="24"/>
          <w:szCs w:val="24"/>
        </w:rPr>
      </w:pPr>
    </w:p>
    <w:p w14:paraId="3B661BD8" w14:textId="55C374A0" w:rsidR="00255A50" w:rsidRPr="00011C12" w:rsidRDefault="00255A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1C12">
        <w:rPr>
          <w:rFonts w:ascii="Times New Roman" w:hAnsi="Times New Roman" w:cs="Times New Roman"/>
          <w:b/>
          <w:bCs/>
          <w:sz w:val="24"/>
          <w:szCs w:val="24"/>
        </w:rPr>
        <w:t>Perfil dos</w:t>
      </w:r>
      <w:r w:rsidR="00041DFC" w:rsidRPr="00011C12">
        <w:rPr>
          <w:rFonts w:ascii="Times New Roman" w:hAnsi="Times New Roman" w:cs="Times New Roman"/>
          <w:b/>
          <w:bCs/>
          <w:sz w:val="24"/>
          <w:szCs w:val="24"/>
        </w:rPr>
        <w:t xml:space="preserve"> representantes das empresas</w:t>
      </w:r>
      <w:r w:rsidRPr="00011C12">
        <w:rPr>
          <w:rFonts w:ascii="Times New Roman" w:hAnsi="Times New Roman" w:cs="Times New Roman"/>
          <w:b/>
          <w:bCs/>
          <w:sz w:val="24"/>
          <w:szCs w:val="24"/>
        </w:rPr>
        <w:t xml:space="preserve"> respondentes:</w:t>
      </w:r>
    </w:p>
    <w:p w14:paraId="2DD0CDAF" w14:textId="759A26F3" w:rsidR="00255A50" w:rsidRDefault="00255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1º </w:t>
      </w:r>
      <w:r w:rsidRPr="00255A50">
        <w:rPr>
          <w:rFonts w:ascii="Times New Roman" w:hAnsi="Times New Roman" w:cs="Times New Roman"/>
          <w:sz w:val="24"/>
          <w:szCs w:val="24"/>
        </w:rPr>
        <w:t>Executivo</w:t>
      </w:r>
      <w:r>
        <w:rPr>
          <w:rFonts w:ascii="Times New Roman" w:hAnsi="Times New Roman" w:cs="Times New Roman"/>
          <w:sz w:val="24"/>
          <w:szCs w:val="24"/>
        </w:rPr>
        <w:t>(a)</w:t>
      </w:r>
      <w:r w:rsidRPr="00255A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55A50">
        <w:rPr>
          <w:rFonts w:ascii="Times New Roman" w:hAnsi="Times New Roman" w:cs="Times New Roman"/>
          <w:sz w:val="24"/>
          <w:szCs w:val="24"/>
        </w:rPr>
        <w:t>stratégi</w:t>
      </w:r>
      <w:r>
        <w:rPr>
          <w:rFonts w:ascii="Times New Roman" w:hAnsi="Times New Roman" w:cs="Times New Roman"/>
          <w:sz w:val="24"/>
          <w:szCs w:val="24"/>
        </w:rPr>
        <w:t>co</w:t>
      </w:r>
      <w:r w:rsidRPr="00255A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255A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255A50">
        <w:rPr>
          <w:rFonts w:ascii="Times New Roman" w:hAnsi="Times New Roman" w:cs="Times New Roman"/>
          <w:sz w:val="24"/>
          <w:szCs w:val="24"/>
        </w:rPr>
        <w:t>ustentabilidade</w:t>
      </w:r>
      <w:r>
        <w:rPr>
          <w:rFonts w:ascii="Times New Roman" w:hAnsi="Times New Roman" w:cs="Times New Roman"/>
          <w:sz w:val="24"/>
          <w:szCs w:val="24"/>
        </w:rPr>
        <w:t xml:space="preserve"> (diretor(a), CEO): </w:t>
      </w:r>
      <w:r w:rsidRPr="00255A50">
        <w:rPr>
          <w:rFonts w:ascii="Times New Roman" w:hAnsi="Times New Roman" w:cs="Times New Roman"/>
          <w:sz w:val="24"/>
          <w:szCs w:val="24"/>
        </w:rPr>
        <w:t>visão holística da empresa e alinha a inovação aos compromissos ESG, metas de carbono, rastreabilidade e reputação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28AC9B" w14:textId="066D0147" w:rsidR="00255A50" w:rsidRDefault="00255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2º </w:t>
      </w:r>
      <w:r w:rsidRPr="00255A50">
        <w:rPr>
          <w:rFonts w:ascii="Times New Roman" w:hAnsi="Times New Roman" w:cs="Times New Roman"/>
          <w:sz w:val="24"/>
          <w:szCs w:val="24"/>
        </w:rPr>
        <w:t>Executivo</w:t>
      </w:r>
      <w:r>
        <w:rPr>
          <w:rFonts w:ascii="Times New Roman" w:hAnsi="Times New Roman" w:cs="Times New Roman"/>
          <w:sz w:val="24"/>
          <w:szCs w:val="24"/>
        </w:rPr>
        <w:t>(a)</w:t>
      </w:r>
      <w:r w:rsidRPr="00255A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255A50">
        <w:rPr>
          <w:rFonts w:ascii="Times New Roman" w:hAnsi="Times New Roman" w:cs="Times New Roman"/>
          <w:sz w:val="24"/>
          <w:szCs w:val="24"/>
        </w:rPr>
        <w:t>stratégi</w:t>
      </w:r>
      <w:r>
        <w:rPr>
          <w:rFonts w:ascii="Times New Roman" w:hAnsi="Times New Roman" w:cs="Times New Roman"/>
          <w:sz w:val="24"/>
          <w:szCs w:val="24"/>
        </w:rPr>
        <w:t>co</w:t>
      </w:r>
      <w:r w:rsidRPr="00255A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em</w:t>
      </w:r>
      <w:r w:rsidRPr="00255A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tecnologia</w:t>
      </w:r>
      <w:r>
        <w:rPr>
          <w:rFonts w:ascii="Times New Roman" w:hAnsi="Times New Roman" w:cs="Times New Roman"/>
          <w:sz w:val="24"/>
          <w:szCs w:val="24"/>
        </w:rPr>
        <w:t xml:space="preserve"> (diretor(a), CEO)</w:t>
      </w:r>
      <w:r>
        <w:rPr>
          <w:rFonts w:ascii="Times New Roman" w:hAnsi="Times New Roman" w:cs="Times New Roman"/>
          <w:sz w:val="24"/>
          <w:szCs w:val="24"/>
        </w:rPr>
        <w:t xml:space="preserve">: disposto a </w:t>
      </w:r>
      <w:r w:rsidRPr="00255A50">
        <w:rPr>
          <w:rFonts w:ascii="Times New Roman" w:hAnsi="Times New Roman" w:cs="Times New Roman"/>
          <w:sz w:val="24"/>
          <w:szCs w:val="24"/>
        </w:rPr>
        <w:t>adoção tecnológica, capacidade de integração da blockchain com</w:t>
      </w:r>
      <w:r>
        <w:rPr>
          <w:rFonts w:ascii="Times New Roman" w:hAnsi="Times New Roman" w:cs="Times New Roman"/>
          <w:sz w:val="24"/>
          <w:szCs w:val="24"/>
        </w:rPr>
        <w:t xml:space="preserve"> outros</w:t>
      </w:r>
      <w:r w:rsidRPr="00255A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sistemas</w:t>
      </w:r>
      <w:r w:rsidRPr="00255A50">
        <w:rPr>
          <w:rFonts w:ascii="Times New Roman" w:hAnsi="Times New Roman" w:cs="Times New Roman"/>
          <w:sz w:val="24"/>
          <w:szCs w:val="24"/>
        </w:rPr>
        <w:t>, competência de TI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55A50">
        <w:rPr>
          <w:rFonts w:ascii="Times New Roman" w:hAnsi="Times New Roman" w:cs="Times New Roman"/>
          <w:sz w:val="24"/>
          <w:szCs w:val="24"/>
        </w:rPr>
        <w:t xml:space="preserve"> visão digital</w:t>
      </w:r>
      <w:r>
        <w:rPr>
          <w:rFonts w:ascii="Times New Roman" w:hAnsi="Times New Roman" w:cs="Times New Roman"/>
          <w:sz w:val="24"/>
          <w:szCs w:val="24"/>
        </w:rPr>
        <w:t xml:space="preserve"> e governança digital.</w:t>
      </w:r>
    </w:p>
    <w:p w14:paraId="2D4D328F" w14:textId="30E5FA14" w:rsidR="00255A50" w:rsidRDefault="00255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3º </w:t>
      </w:r>
      <w:r w:rsidRPr="00255A50">
        <w:rPr>
          <w:rFonts w:ascii="Times New Roman" w:hAnsi="Times New Roman" w:cs="Times New Roman"/>
          <w:sz w:val="24"/>
          <w:szCs w:val="24"/>
        </w:rPr>
        <w:t>Executivo</w:t>
      </w:r>
      <w:r>
        <w:rPr>
          <w:rFonts w:ascii="Times New Roman" w:hAnsi="Times New Roman" w:cs="Times New Roman"/>
          <w:sz w:val="24"/>
          <w:szCs w:val="24"/>
        </w:rPr>
        <w:t>(a)</w:t>
      </w:r>
      <w:r w:rsidRPr="00255A5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 operações</w:t>
      </w:r>
      <w:r>
        <w:rPr>
          <w:rFonts w:ascii="Times New Roman" w:hAnsi="Times New Roman" w:cs="Times New Roman"/>
          <w:sz w:val="24"/>
          <w:szCs w:val="24"/>
        </w:rPr>
        <w:t xml:space="preserve"> (diretor(a</w:t>
      </w:r>
      <w:r>
        <w:rPr>
          <w:rFonts w:ascii="Times New Roman" w:hAnsi="Times New Roman" w:cs="Times New Roman"/>
          <w:sz w:val="24"/>
          <w:szCs w:val="24"/>
        </w:rPr>
        <w:t>) ou gerente de operações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55A50">
        <w:rPr>
          <w:rFonts w:ascii="Times New Roman" w:hAnsi="Times New Roman" w:cs="Times New Roman"/>
          <w:sz w:val="24"/>
          <w:szCs w:val="24"/>
        </w:rPr>
        <w:t>entendimento dos processos operacionais que seriam afetados pela blockchain, especialmente na rastreabilidade de insumos, sustentabilidade da cadeia produtiva e certificações</w:t>
      </w:r>
      <w:r w:rsidR="00B04C05">
        <w:rPr>
          <w:rFonts w:ascii="Times New Roman" w:hAnsi="Times New Roman" w:cs="Times New Roman"/>
          <w:sz w:val="24"/>
          <w:szCs w:val="24"/>
        </w:rPr>
        <w:t>.</w:t>
      </w:r>
    </w:p>
    <w:p w14:paraId="0C945294" w14:textId="77777777" w:rsidR="00011C12" w:rsidRDefault="00011C12">
      <w:pPr>
        <w:rPr>
          <w:rFonts w:ascii="Times New Roman" w:hAnsi="Times New Roman" w:cs="Times New Roman"/>
          <w:sz w:val="24"/>
          <w:szCs w:val="24"/>
        </w:rPr>
      </w:pPr>
    </w:p>
    <w:p w14:paraId="743481AA" w14:textId="6E0402E7" w:rsidR="00011C12" w:rsidRPr="00011C12" w:rsidRDefault="00011C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1C12">
        <w:rPr>
          <w:rFonts w:ascii="Times New Roman" w:hAnsi="Times New Roman" w:cs="Times New Roman"/>
          <w:b/>
          <w:bCs/>
          <w:sz w:val="24"/>
          <w:szCs w:val="24"/>
        </w:rPr>
        <w:t>Tabela com critérios e perfil de cada nível de maturidade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10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1660"/>
        <w:gridCol w:w="3020"/>
        <w:gridCol w:w="4480"/>
      </w:tblGrid>
      <w:tr w:rsidR="00302C4A" w:rsidRPr="00302C4A" w14:paraId="5825268C" w14:textId="77777777" w:rsidTr="00302C4A">
        <w:trPr>
          <w:trHeight w:val="540"/>
        </w:trPr>
        <w:tc>
          <w:tcPr>
            <w:tcW w:w="1400" w:type="dxa"/>
            <w:tcBorders>
              <w:top w:val="dashed" w:sz="8" w:space="0" w:color="auto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DFE3EBD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Níveis de maturidade </w:t>
            </w:r>
          </w:p>
        </w:tc>
        <w:tc>
          <w:tcPr>
            <w:tcW w:w="1660" w:type="dxa"/>
            <w:tcBorders>
              <w:top w:val="dashed" w:sz="8" w:space="0" w:color="auto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5DB9B9EA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Ação</w:t>
            </w:r>
          </w:p>
        </w:tc>
        <w:tc>
          <w:tcPr>
            <w:tcW w:w="7500" w:type="dxa"/>
            <w:gridSpan w:val="2"/>
            <w:tcBorders>
              <w:top w:val="dashed" w:sz="8" w:space="0" w:color="auto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91E3D5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Critérios</w:t>
            </w:r>
          </w:p>
        </w:tc>
      </w:tr>
      <w:tr w:rsidR="00302C4A" w:rsidRPr="00302C4A" w14:paraId="1F54112B" w14:textId="77777777" w:rsidTr="00302C4A">
        <w:trPr>
          <w:trHeight w:val="288"/>
        </w:trPr>
        <w:tc>
          <w:tcPr>
            <w:tcW w:w="140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2444BC2D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1-Viabilidade</w:t>
            </w:r>
          </w:p>
        </w:tc>
        <w:tc>
          <w:tcPr>
            <w:tcW w:w="166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7BF3D2BA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Vislumbrar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3E8153E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Projetos piloto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83C61E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Acesso a certificação de produtos </w:t>
            </w:r>
          </w:p>
        </w:tc>
      </w:tr>
      <w:tr w:rsidR="00302C4A" w:rsidRPr="00302C4A" w14:paraId="7ABA33A6" w14:textId="77777777" w:rsidTr="00302C4A">
        <w:trPr>
          <w:trHeight w:val="52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7234ECC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092E072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B94477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Tecnologia de transações e registos em blockchain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8454E9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Registros resistentes a adulterações </w:t>
            </w:r>
          </w:p>
        </w:tc>
      </w:tr>
      <w:tr w:rsidR="00302C4A" w:rsidRPr="00302C4A" w14:paraId="6A4D378D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45C72AC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9A804A0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C66DA7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Aplicações na produção agrícola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697F81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Agilidade e aumento de produtividade </w:t>
            </w:r>
          </w:p>
        </w:tc>
      </w:tr>
      <w:tr w:rsidR="00302C4A" w:rsidRPr="00302C4A" w14:paraId="111BB93B" w14:textId="77777777" w:rsidTr="00302C4A">
        <w:trPr>
          <w:trHeight w:val="540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F590533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52949C0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1BFF0486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Crédito e financiamento do mercado agrícola</w:t>
            </w:r>
          </w:p>
        </w:tc>
        <w:tc>
          <w:tcPr>
            <w:tcW w:w="4480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15D3DE2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Crédito da qualidade e segurança </w:t>
            </w:r>
          </w:p>
        </w:tc>
      </w:tr>
      <w:tr w:rsidR="00302C4A" w:rsidRPr="00302C4A" w14:paraId="4CBA1598" w14:textId="77777777" w:rsidTr="00302C4A">
        <w:trPr>
          <w:trHeight w:val="528"/>
        </w:trPr>
        <w:tc>
          <w:tcPr>
            <w:tcW w:w="140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F9DD3C3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2-Acerto</w:t>
            </w:r>
          </w:p>
        </w:tc>
        <w:tc>
          <w:tcPr>
            <w:tcW w:w="166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14D1DD0C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Acertar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19DCEA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Recolha de informação sobre o uso da tecnologia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53CE8C1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Compartilhamento de informações </w:t>
            </w:r>
          </w:p>
        </w:tc>
      </w:tr>
      <w:tr w:rsidR="00302C4A" w:rsidRPr="00302C4A" w14:paraId="5070B86D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19DB4E20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D50D64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3A160C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Avaliação da participação no processo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6CAE89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Vendas do produtor </w:t>
            </w:r>
          </w:p>
        </w:tc>
      </w:tr>
      <w:tr w:rsidR="00302C4A" w:rsidRPr="00302C4A" w14:paraId="0BF31931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F6014B4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406EE77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F74A75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F054D4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Fluxo a jusante </w:t>
            </w:r>
          </w:p>
        </w:tc>
      </w:tr>
      <w:tr w:rsidR="00302C4A" w:rsidRPr="00302C4A" w14:paraId="4B6136B1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81A2DE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F603DED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3497B8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AD59F7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Especificidades de informações </w:t>
            </w:r>
          </w:p>
        </w:tc>
      </w:tr>
      <w:tr w:rsidR="00302C4A" w:rsidRPr="00302C4A" w14:paraId="06AF5E2D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B7BF598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D89CB7F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50839A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Procura por fornecedores especializados na tecnologia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D59B2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Startups especializadas em implantação blockchain </w:t>
            </w:r>
          </w:p>
        </w:tc>
      </w:tr>
      <w:tr w:rsidR="00302C4A" w:rsidRPr="00302C4A" w14:paraId="72A71B3C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10BCA0D1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F723BC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6D2B6C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27A30E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Conjunto de usuários </w:t>
            </w:r>
          </w:p>
        </w:tc>
      </w:tr>
      <w:tr w:rsidR="00302C4A" w:rsidRPr="00302C4A" w14:paraId="094B3829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FCCD41F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3FF25E89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218D3A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02C4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33D3A5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Soluções financeiras para adoção da blockchain </w:t>
            </w:r>
          </w:p>
        </w:tc>
      </w:tr>
      <w:tr w:rsidR="00302C4A" w:rsidRPr="00302C4A" w14:paraId="0D211A70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5B640D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BE2E1B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FAAA69" w14:textId="77777777" w:rsidR="00302C4A" w:rsidRPr="00302C4A" w:rsidRDefault="00302C4A" w:rsidP="00302C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685211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Redes de investidores </w:t>
            </w:r>
          </w:p>
        </w:tc>
      </w:tr>
      <w:tr w:rsidR="00302C4A" w:rsidRPr="00302C4A" w14:paraId="180513A8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4A00005F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D1B1380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12C81149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Rastreamento de lotes destinados à exportação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4BD3B2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Informações necessárias de produtos </w:t>
            </w:r>
          </w:p>
        </w:tc>
      </w:tr>
      <w:tr w:rsidR="00302C4A" w:rsidRPr="00302C4A" w14:paraId="046FA6DD" w14:textId="77777777" w:rsidTr="00302C4A">
        <w:trPr>
          <w:trHeight w:val="300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15CFCC28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FD7CFE1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54ED12A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6BBB1DB5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Tipos de certificações </w:t>
            </w:r>
          </w:p>
        </w:tc>
      </w:tr>
      <w:tr w:rsidR="00302C4A" w:rsidRPr="00302C4A" w14:paraId="1FC6D1D0" w14:textId="77777777" w:rsidTr="00302C4A">
        <w:trPr>
          <w:trHeight w:val="288"/>
        </w:trPr>
        <w:tc>
          <w:tcPr>
            <w:tcW w:w="140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A61145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3-Padronizado</w:t>
            </w:r>
          </w:p>
        </w:tc>
        <w:tc>
          <w:tcPr>
            <w:tcW w:w="166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0957612C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Padronizar</w:t>
            </w: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379498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Contratos de ativos de crédito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4C9398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Mecanismos de consenso </w:t>
            </w:r>
          </w:p>
        </w:tc>
      </w:tr>
      <w:tr w:rsidR="00302C4A" w:rsidRPr="00302C4A" w14:paraId="7A8636B3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96BD6C1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91A7AD0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E64916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8ED4CA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Contratos de crédito </w:t>
            </w:r>
          </w:p>
        </w:tc>
      </w:tr>
      <w:tr w:rsidR="00302C4A" w:rsidRPr="00302C4A" w14:paraId="45A0C098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9ED71C2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531D559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D2A82D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Trocas de produtos através da sua cadeia de abastecimento via blockchain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8A8F1B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Operações de fluxo de produtos </w:t>
            </w:r>
          </w:p>
        </w:tc>
      </w:tr>
      <w:tr w:rsidR="00302C4A" w:rsidRPr="00302C4A" w14:paraId="10F889B8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4309737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CA06E4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495C2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E1EAC6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Processamento de dados </w:t>
            </w:r>
          </w:p>
        </w:tc>
      </w:tr>
      <w:tr w:rsidR="00302C4A" w:rsidRPr="00302C4A" w14:paraId="3E74DDB1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9C81EE1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D5558B4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8EFB8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14945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Gerenciamento de informações </w:t>
            </w:r>
          </w:p>
        </w:tc>
      </w:tr>
      <w:tr w:rsidR="00302C4A" w:rsidRPr="00302C4A" w14:paraId="2A0D32D8" w14:textId="77777777" w:rsidTr="00302C4A">
        <w:trPr>
          <w:trHeight w:val="52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469B26F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5EF0BB8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A13895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Integração de plataformas digitais integradas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048272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Tecnologias inovadoras </w:t>
            </w:r>
          </w:p>
        </w:tc>
      </w:tr>
      <w:tr w:rsidR="00302C4A" w:rsidRPr="00302C4A" w14:paraId="34265635" w14:textId="77777777" w:rsidTr="00302C4A">
        <w:trPr>
          <w:trHeight w:val="792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76463B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4152DFEA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64EBD3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Uso de tokens para facilitar a trading e adiantamentos financeiros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B7D2FE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Tokenização de ativos nas transações </w:t>
            </w:r>
          </w:p>
        </w:tc>
      </w:tr>
      <w:tr w:rsidR="00302C4A" w:rsidRPr="00302C4A" w14:paraId="36BAF8E4" w14:textId="77777777" w:rsidTr="00302C4A">
        <w:trPr>
          <w:trHeight w:val="540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3DC5F384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E1BD4A2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CB94835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Rastreabilidade em ecossistemas interempresariais </w:t>
            </w:r>
          </w:p>
        </w:tc>
        <w:tc>
          <w:tcPr>
            <w:tcW w:w="4480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2B13EEC0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Transparência </w:t>
            </w:r>
          </w:p>
        </w:tc>
      </w:tr>
      <w:tr w:rsidR="00302C4A" w:rsidRPr="00302C4A" w14:paraId="1F0DC822" w14:textId="77777777" w:rsidTr="00302C4A">
        <w:trPr>
          <w:trHeight w:val="288"/>
        </w:trPr>
        <w:tc>
          <w:tcPr>
            <w:tcW w:w="140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3DEB250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4-Confiável</w:t>
            </w:r>
          </w:p>
        </w:tc>
        <w:tc>
          <w:tcPr>
            <w:tcW w:w="166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00F98F50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Confiar/ Assegurar</w:t>
            </w: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FBA1E5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Mercado de crédito de carbono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7E79A6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Mercado de crédito de carbono </w:t>
            </w:r>
          </w:p>
        </w:tc>
      </w:tr>
      <w:tr w:rsidR="00302C4A" w:rsidRPr="00302C4A" w14:paraId="57FF68BD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EC37E04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CC64C19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2439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C87A0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Registro de emissões de carbono </w:t>
            </w:r>
          </w:p>
        </w:tc>
      </w:tr>
      <w:tr w:rsidR="00302C4A" w:rsidRPr="00302C4A" w14:paraId="6E9A2795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C620BF3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8715BB1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D77D3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8EBF16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Negociação de créditos de carbono </w:t>
            </w:r>
          </w:p>
        </w:tc>
      </w:tr>
      <w:tr w:rsidR="00302C4A" w:rsidRPr="00302C4A" w14:paraId="177124A6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AED6D6D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18BB075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FD6BB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Partilha segura de dados em cadeias de abastecimento integradas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1B3FF4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Referência para parceiros </w:t>
            </w:r>
          </w:p>
        </w:tc>
      </w:tr>
      <w:tr w:rsidR="00302C4A" w:rsidRPr="00302C4A" w14:paraId="090C9405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A979FD6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5DBC309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6187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768D04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Confiança sustentável </w:t>
            </w:r>
          </w:p>
        </w:tc>
      </w:tr>
      <w:tr w:rsidR="00302C4A" w:rsidRPr="00302C4A" w14:paraId="112BDCC1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429734D2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3DD22E30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2AF5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4E915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Origem, cultivo e processamento </w:t>
            </w:r>
          </w:p>
        </w:tc>
      </w:tr>
      <w:tr w:rsidR="00302C4A" w:rsidRPr="00302C4A" w14:paraId="742E2F58" w14:textId="77777777" w:rsidTr="00302C4A">
        <w:trPr>
          <w:trHeight w:val="52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AC099AD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9D45937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6F64E0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Pegada de carbono e informação genética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DD3AC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Identificação genética dos alimentos </w:t>
            </w:r>
          </w:p>
        </w:tc>
      </w:tr>
      <w:tr w:rsidR="00302C4A" w:rsidRPr="00302C4A" w14:paraId="7CC3EF30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ADB3636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36BB772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50D7F714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Plataformas Agtech para produção e comercialização digital de produtos agrícolas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2E8C2A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Apoio de Agtech especializada </w:t>
            </w:r>
          </w:p>
        </w:tc>
      </w:tr>
      <w:tr w:rsidR="00302C4A" w:rsidRPr="00302C4A" w14:paraId="53712EB6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3BBECA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B7302B5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63BC87F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879BD0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Redução de custos </w:t>
            </w:r>
          </w:p>
        </w:tc>
      </w:tr>
      <w:tr w:rsidR="00302C4A" w:rsidRPr="00302C4A" w14:paraId="1B57466C" w14:textId="77777777" w:rsidTr="00302C4A">
        <w:trPr>
          <w:trHeight w:val="300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3819E624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49ECDB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B47C39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3B287D2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Aumento da produtividade </w:t>
            </w:r>
          </w:p>
        </w:tc>
      </w:tr>
      <w:tr w:rsidR="00302C4A" w:rsidRPr="00302C4A" w14:paraId="4FC735E2" w14:textId="77777777" w:rsidTr="00302C4A">
        <w:trPr>
          <w:trHeight w:val="792"/>
        </w:trPr>
        <w:tc>
          <w:tcPr>
            <w:tcW w:w="140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7E35689C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5-Melhoria contínua</w:t>
            </w:r>
          </w:p>
        </w:tc>
        <w:tc>
          <w:tcPr>
            <w:tcW w:w="1660" w:type="dxa"/>
            <w:vMerge w:val="restart"/>
            <w:tcBorders>
              <w:top w:val="nil"/>
              <w:left w:val="nil"/>
              <w:bottom w:val="dashed" w:sz="8" w:space="0" w:color="000000"/>
              <w:right w:val="nil"/>
            </w:tcBorders>
            <w:shd w:val="clear" w:color="000000" w:fill="FFFFFF"/>
            <w:vAlign w:val="center"/>
            <w:hideMark/>
          </w:tcPr>
          <w:p w14:paraId="61FB1E88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Otimizar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CF3CF7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Rastreabilidade totalmente incorporada no dia-a-dia operacional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62CFB6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Livro-razão de transações </w:t>
            </w:r>
          </w:p>
        </w:tc>
      </w:tr>
      <w:tr w:rsidR="00302C4A" w:rsidRPr="00302C4A" w14:paraId="76584632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86B04D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CA612A9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26B3B5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9C9308C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Consenso democrático </w:t>
            </w:r>
          </w:p>
        </w:tc>
      </w:tr>
      <w:tr w:rsidR="00302C4A" w:rsidRPr="00302C4A" w14:paraId="12C6DD42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3389D61D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49E7EA61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176EE4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302C4A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610F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Compartilhamento de informações com a sociedade </w:t>
            </w:r>
          </w:p>
        </w:tc>
      </w:tr>
      <w:tr w:rsidR="00302C4A" w:rsidRPr="00302C4A" w14:paraId="0C9EF4C2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222DF8D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3EE7155D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2B756A" w14:textId="77777777" w:rsidR="00302C4A" w:rsidRPr="00302C4A" w:rsidRDefault="00302C4A" w:rsidP="00302C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443B2D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Soluções sociotécnicas </w:t>
            </w:r>
          </w:p>
        </w:tc>
      </w:tr>
      <w:tr w:rsidR="00302C4A" w:rsidRPr="00302C4A" w14:paraId="563E5133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49206DEC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C25E074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20CDA8" w14:textId="77777777" w:rsidR="00302C4A" w:rsidRPr="00302C4A" w:rsidRDefault="00302C4A" w:rsidP="00302C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7E8844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Sustentabilidade aprimorada </w:t>
            </w:r>
          </w:p>
        </w:tc>
      </w:tr>
      <w:tr w:rsidR="00302C4A" w:rsidRPr="00302C4A" w14:paraId="5D01C678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FBDE9B8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3BC09A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CBA615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Propriedade sustentável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AF5FFA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Indicadores ambientais, sociais e econômicos </w:t>
            </w:r>
          </w:p>
        </w:tc>
      </w:tr>
      <w:tr w:rsidR="00302C4A" w:rsidRPr="00302C4A" w14:paraId="4F0D04ED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827E2D4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1D35B4D0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64237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0709BA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Certificações de qualidade </w:t>
            </w:r>
          </w:p>
        </w:tc>
      </w:tr>
      <w:tr w:rsidR="00302C4A" w:rsidRPr="00302C4A" w14:paraId="46575512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4182E891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620CECD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A7D4B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57285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Certificações de gestão ambiental </w:t>
            </w:r>
          </w:p>
        </w:tc>
      </w:tr>
      <w:tr w:rsidR="00302C4A" w:rsidRPr="00302C4A" w14:paraId="14E165F6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1F677E04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05A1733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8DEC2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C6B382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Certificações de saúde ocupacional </w:t>
            </w:r>
          </w:p>
        </w:tc>
      </w:tr>
      <w:tr w:rsidR="00302C4A" w:rsidRPr="00302C4A" w14:paraId="6AE32C64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61138C7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DBBFCC9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DDAAB3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EA5C48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Sustentabilidade integrada a estratégias </w:t>
            </w:r>
          </w:p>
        </w:tc>
      </w:tr>
      <w:tr w:rsidR="00302C4A" w:rsidRPr="00302C4A" w14:paraId="625465D2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282AEA4C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116B23BA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46604C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Cadeias de exportação multissetoriais com certificação digital </w:t>
            </w: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E9399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Registro de dados distribuídos </w:t>
            </w:r>
          </w:p>
        </w:tc>
      </w:tr>
      <w:tr w:rsidR="00302C4A" w:rsidRPr="00302C4A" w14:paraId="25C0726D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AD31A0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F9B7315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9AF154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28F15F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Segurança de dados comerciais </w:t>
            </w:r>
          </w:p>
        </w:tc>
      </w:tr>
      <w:tr w:rsidR="00302C4A" w:rsidRPr="00302C4A" w14:paraId="7CFC9D6A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62F279D1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B3825F0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427F5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4D8539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Agilidade em compromissos contratuais </w:t>
            </w:r>
          </w:p>
        </w:tc>
      </w:tr>
      <w:tr w:rsidR="00302C4A" w:rsidRPr="00302C4A" w14:paraId="0C9CCC07" w14:textId="77777777" w:rsidTr="00302C4A">
        <w:trPr>
          <w:trHeight w:val="288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22FF72E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052A4302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59460C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44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E10C2D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Certificações de pontuação </w:t>
            </w:r>
          </w:p>
        </w:tc>
      </w:tr>
      <w:tr w:rsidR="00302C4A" w:rsidRPr="00302C4A" w14:paraId="4EC7997B" w14:textId="77777777" w:rsidTr="00302C4A">
        <w:trPr>
          <w:trHeight w:val="300"/>
        </w:trPr>
        <w:tc>
          <w:tcPr>
            <w:tcW w:w="140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764BEC6D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660" w:type="dxa"/>
            <w:vMerge/>
            <w:tcBorders>
              <w:top w:val="nil"/>
              <w:left w:val="nil"/>
              <w:bottom w:val="dashed" w:sz="8" w:space="0" w:color="000000"/>
              <w:right w:val="nil"/>
            </w:tcBorders>
            <w:vAlign w:val="center"/>
            <w:hideMark/>
          </w:tcPr>
          <w:p w14:paraId="59BA012A" w14:textId="77777777" w:rsidR="00302C4A" w:rsidRPr="00302C4A" w:rsidRDefault="00302C4A" w:rsidP="00302C4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3020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FCB93EE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Tokenização da produção </w:t>
            </w:r>
          </w:p>
        </w:tc>
        <w:tc>
          <w:tcPr>
            <w:tcW w:w="4480" w:type="dxa"/>
            <w:tcBorders>
              <w:top w:val="nil"/>
              <w:left w:val="nil"/>
              <w:bottom w:val="dashed" w:sz="8" w:space="0" w:color="auto"/>
              <w:right w:val="nil"/>
            </w:tcBorders>
            <w:shd w:val="clear" w:color="000000" w:fill="FFFFFF"/>
            <w:vAlign w:val="center"/>
            <w:hideMark/>
          </w:tcPr>
          <w:p w14:paraId="4FF6EBF9" w14:textId="77777777" w:rsidR="00302C4A" w:rsidRPr="00302C4A" w:rsidRDefault="00302C4A" w:rsidP="00302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Uso de Non-</w:t>
            </w:r>
            <w:proofErr w:type="spellStart"/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Fungible</w:t>
            </w:r>
            <w:proofErr w:type="spellEnd"/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Tokens (</w:t>
            </w:r>
            <w:proofErr w:type="spellStart"/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NFTs</w:t>
            </w:r>
            <w:proofErr w:type="spellEnd"/>
            <w:r w:rsidRPr="00302C4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) </w:t>
            </w:r>
          </w:p>
        </w:tc>
      </w:tr>
    </w:tbl>
    <w:p w14:paraId="7D238860" w14:textId="77777777" w:rsidR="00B04C05" w:rsidRDefault="00B04C05">
      <w:pPr>
        <w:rPr>
          <w:rFonts w:ascii="Times New Roman" w:hAnsi="Times New Roman" w:cs="Times New Roman"/>
          <w:sz w:val="24"/>
          <w:szCs w:val="24"/>
        </w:rPr>
      </w:pPr>
    </w:p>
    <w:p w14:paraId="4F195933" w14:textId="77777777" w:rsidR="00255A50" w:rsidRPr="00255A50" w:rsidRDefault="00255A50">
      <w:pPr>
        <w:rPr>
          <w:rFonts w:ascii="Times New Roman" w:hAnsi="Times New Roman" w:cs="Times New Roman"/>
          <w:sz w:val="24"/>
          <w:szCs w:val="24"/>
        </w:rPr>
      </w:pPr>
    </w:p>
    <w:sectPr w:rsidR="00255A50" w:rsidRPr="00255A50" w:rsidSect="00302C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46D7A"/>
    <w:multiLevelType w:val="hybridMultilevel"/>
    <w:tmpl w:val="E2928E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12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50"/>
    <w:rsid w:val="00011C12"/>
    <w:rsid w:val="00041DFC"/>
    <w:rsid w:val="000711DE"/>
    <w:rsid w:val="001C3DBD"/>
    <w:rsid w:val="00255A50"/>
    <w:rsid w:val="00302C4A"/>
    <w:rsid w:val="005D4E29"/>
    <w:rsid w:val="00B04C05"/>
    <w:rsid w:val="00B17E13"/>
    <w:rsid w:val="00F17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953C5"/>
  <w15:chartTrackingRefBased/>
  <w15:docId w15:val="{C057FDB9-D5D8-4E23-B4A0-D1AE503F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5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5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5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5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A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5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5A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5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5A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5A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5A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5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5A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5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2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630</Words>
  <Characters>3403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dos Santos</dc:creator>
  <cp:keywords/>
  <dc:description/>
  <cp:lastModifiedBy>Paulo Henrique dos Santos</cp:lastModifiedBy>
  <cp:revision>2</cp:revision>
  <dcterms:created xsi:type="dcterms:W3CDTF">2025-05-26T17:34:00Z</dcterms:created>
  <dcterms:modified xsi:type="dcterms:W3CDTF">2025-05-26T18:09:00Z</dcterms:modified>
</cp:coreProperties>
</file>