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b/>
          <w:bCs/>
          <w:highlight w:val="none"/>
          <w:lang w:val="pt-BR"/>
        </w:rPr>
      </w:pPr>
      <w:r>
        <w:rPr>
          <w:b/>
          <w:bCs/>
          <w:lang w:val="pt-BR"/>
        </w:rPr>
        <w:t xml:space="preserve">1. </w:t>
      </w:r>
      <w:r>
        <w:rPr>
          <w:b/>
          <w:bCs/>
          <w:lang w:val="pt-BR"/>
        </w:rPr>
        <w:t xml:space="preserve">Preparação e consolidação do corpus de critérios</w:t>
      </w:r>
      <w:r>
        <w:rPr>
          <w:b/>
          <w:bCs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b/>
          <w:bCs/>
        </w:rPr>
      </w:pPr>
      <w:r>
        <w:rPr>
          <w:b/>
          <w:bCs/>
          <w:highlight w:val="none"/>
          <w:lang w:val="pt-BR"/>
        </w:rPr>
      </w:r>
      <w:r>
        <w:rPr>
          <w:b/>
          <w:bCs/>
          <w:highlight w:val="none"/>
          <w:lang w:val="pt-BR"/>
        </w:rPr>
      </w:r>
    </w:p>
    <w:p>
      <w:pPr>
        <w:pStyle w:val="1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</w:rPr>
      </w:pPr>
      <w:r>
        <w:rPr>
          <w:b w:val="0"/>
          <w:bCs w:val="0"/>
          <w:lang w:val="pt-BR"/>
        </w:rPr>
        <w:t xml:space="preserve">Exportar a tabela do documento (.docx) para um dataframe R (read_docx → officer + tidyverse).</w:t>
      </w:r>
      <w:r>
        <w:rPr>
          <w:b w:val="0"/>
          <w:bCs w:val="0"/>
        </w:rPr>
      </w:r>
    </w:p>
    <w:p>
      <w:pPr>
        <w:pStyle w:val="1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</w:rPr>
      </w:pPr>
      <w:r>
        <w:rPr>
          <w:b w:val="0"/>
          <w:bCs w:val="0"/>
          <w:lang w:val="pt-BR"/>
        </w:rPr>
        <w:t xml:space="preserve">Criar chaves: nivel, acao, criterio_macro (coluna esquerda) e criterio_micro (coluna direita).</w:t>
      </w:r>
      <w:r>
        <w:rPr>
          <w:b w:val="0"/>
          <w:bCs w:val="0"/>
        </w:rPr>
      </w:r>
    </w:p>
    <w:p>
      <w:pPr>
        <w:pStyle w:val="1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</w:rPr>
      </w:pPr>
      <w:r>
        <w:rPr>
          <w:b w:val="0"/>
          <w:bCs w:val="0"/>
          <w:lang w:val="pt-BR"/>
        </w:rPr>
        <w:t xml:space="preserve">Harmonizar tempos verbais e suprimir duplicatas (“Mercado de crédito de carbono” aparece em dois campos).</w:t>
      </w:r>
      <w:r>
        <w:rPr>
          <w:b w:val="0"/>
          <w:bCs w:val="0"/>
        </w:rPr>
      </w:r>
    </w:p>
    <w:p>
      <w:pPr>
        <w:pStyle w:val="1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</w:rPr>
      </w:pPr>
      <w:r>
        <w:rPr>
          <w:b w:val="0"/>
          <w:bCs w:val="0"/>
          <w:lang w:val="pt-BR"/>
        </w:rPr>
        <w:t xml:space="preserve">Aplicar lematização em inglês via spacyr, preservando rótulos originais para rastreabilidade.</w:t>
      </w:r>
      <w:r>
        <w:rPr>
          <w:b w:val="0"/>
          <w:bCs w:val="0"/>
        </w:rPr>
      </w:r>
    </w:p>
    <w:p>
      <w:pPr>
        <w:pStyle w:val="1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</w:rPr>
      </w:pPr>
      <w:r>
        <w:rPr>
          <w:b w:val="0"/>
          <w:bCs w:val="0"/>
          <w:lang w:val="pt-BR"/>
        </w:rPr>
        <w:t xml:space="preserve">Gerar JSON aninhado (nível → ação → criterios) para consumo em simulações LLM.</w:t>
      </w:r>
      <w:r>
        <w:rPr>
          <w:rFonts w:ascii="Times New Roman" w:hAnsi="Times New Roman" w:eastAsia="Times New Roman" w:cs="Times New Roman"/>
          <w:b w:val="0"/>
          <w:bCs w:val="0"/>
          <w:sz w:val="24"/>
        </w:rPr>
      </w:r>
      <w:r>
        <w:rPr>
          <w:b w:val="0"/>
          <w:bCs w:val="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b w:val="0"/>
          <w:bCs w:val="0"/>
        </w:rPr>
      </w:pPr>
      <w:r>
        <w:rPr>
          <w:b/>
          <w:bCs/>
          <w:lang w:val="pt-BR"/>
        </w:rPr>
        <w:t xml:space="preserve">2. </w:t>
      </w:r>
      <w:r>
        <w:rPr>
          <w:b/>
          <w:bCs/>
        </w:rPr>
        <w:t xml:space="preserve">Definição da ontologia psicométrica preliminar</w:t>
      </w:r>
      <w:r>
        <w:rPr>
          <w:b w:val="0"/>
          <w:bCs w:val="0"/>
        </w:rPr>
        <w:br/>
      </w:r>
      <w:r>
        <w:rPr>
          <w:b w:val="0"/>
          <w:bCs w:val="0"/>
        </w:rPr>
      </w:r>
    </w:p>
    <w:p>
      <w:pPr>
        <w:pStyle w:val="1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  <w:t xml:space="preserve">Mapeamento item→dimensão</w:t>
      </w:r>
      <w:r>
        <w:rPr>
          <w:b w:val="0"/>
          <w:bCs w:val="0"/>
          <w:lang w:val="pt-BR"/>
        </w:rPr>
        <w:t xml:space="preserve">: </w:t>
      </w:r>
      <w:r>
        <w:rPr>
          <w:b w:val="0"/>
          <w:bCs w:val="0"/>
        </w:rPr>
        <w:t xml:space="preserve">Vincular cada criterio_macro a uma das três dimensões latentes já inferidas (Governança &amp; Estratégia, Integração Operacional, Sustentabilidade &amp; Escalabilidade).</w:t>
      </w:r>
      <w:r>
        <w:rPr>
          <w:b w:val="0"/>
          <w:bCs w:val="0"/>
        </w:rPr>
      </w:r>
      <w:r/>
    </w:p>
    <w:p>
      <w:pPr>
        <w:pStyle w:val="1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b w:val="0"/>
          <w:bCs w:val="0"/>
          <w:lang w:val="pt-BR"/>
        </w:rPr>
        <w:t xml:space="preserve">E</w:t>
      </w:r>
      <w:r>
        <w:rPr>
          <w:b w:val="0"/>
          <w:bCs w:val="0"/>
        </w:rPr>
        <w:t xml:space="preserve">scala ordinal</w:t>
      </w:r>
      <w:r>
        <w:rPr>
          <w:b w:val="0"/>
          <w:bCs w:val="0"/>
          <w:lang w:val="pt-BR"/>
        </w:rPr>
        <w:t xml:space="preserve">: </w:t>
      </w:r>
      <w:r>
        <w:rPr>
          <w:b w:val="0"/>
          <w:bCs w:val="0"/>
        </w:rPr>
        <w:t xml:space="preserve">Manter formato Likert-5; alinhar rótulos “muito baixo” → “muito alto” aos perfis executivos para evitar viés de interpretação.</w:t>
      </w:r>
      <w:r/>
      <w:r>
        <w:rPr>
          <w:b w:val="0"/>
          <w:bCs w:val="0"/>
        </w:rPr>
      </w:r>
    </w:p>
    <w:p>
      <w:pPr>
        <w:pStyle w:val="1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b w:val="0"/>
          <w:bCs w:val="0"/>
        </w:rPr>
        <w:t xml:space="preserve">Metadados</w:t>
      </w:r>
      <w:r>
        <w:rPr>
          <w:b w:val="0"/>
          <w:bCs w:val="0"/>
          <w:lang w:val="pt-BR"/>
        </w:rPr>
        <w:t xml:space="preserve">: </w:t>
      </w:r>
      <w:r>
        <w:rPr>
          <w:b w:val="0"/>
          <w:bCs w:val="0"/>
        </w:rPr>
        <w:t xml:space="preserve">Incluir campos: perfil_destino (sustentabilidade, tecnologia, operações) e θ_target (estimativa de maturidade esperada para o item).</w:t>
      </w:r>
      <w:r/>
      <w:r>
        <w:rPr>
          <w:b w:val="0"/>
          <w:bCs w:val="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b w:val="0"/>
          <w:bCs w:val="0"/>
          <w:highlight w:val="none"/>
        </w:rPr>
      </w:pPr>
      <w:r>
        <w:rPr>
          <w:b w:val="0"/>
          <w:bCs w:val="0"/>
        </w:rPr>
      </w:r>
      <w:r>
        <w:rPr>
          <w:b w:val="0"/>
          <w:bCs w:val="0"/>
        </w:rPr>
        <w:t xml:space="preserve"> </w:t>
      </w:r>
      <w:r>
        <w:rPr>
          <w:b w:val="0"/>
          <w:bCs w:val="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b/>
          <w:bCs/>
        </w:rPr>
      </w:pPr>
      <w:r>
        <w:rPr>
          <w:b/>
          <w:bCs/>
        </w:rPr>
        <w:t xml:space="preserve">3</w:t>
      </w:r>
      <w:r>
        <w:rPr>
          <w:b/>
          <w:bCs/>
          <w:lang w:val="pt-BR"/>
        </w:rPr>
        <w:t xml:space="preserve">.</w:t>
      </w:r>
      <w:r>
        <w:rPr>
          <w:b/>
          <w:bCs/>
        </w:rPr>
        <w:t xml:space="preserve"> Geração de respondentes artificiais (fase Data-generating mechanism)</w:t>
      </w:r>
      <w:r>
        <w:rPr>
          <w:b/>
          <w:bCs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b w:val="0"/>
          <w:bCs w:val="0"/>
        </w:rPr>
      </w:pPr>
      <w:r>
        <w:rPr>
          <w:b w:val="0"/>
          <w:bCs w:val="0"/>
          <w:highlight w:val="none"/>
          <w:lang w:val="pt-BR"/>
        </w:rPr>
      </w:r>
      <w:r>
        <w:rPr>
          <w:b w:val="0"/>
          <w:bCs w:val="0"/>
          <w:highlight w:val="none"/>
          <w:lang w:val="pt-BR"/>
        </w:rPr>
      </w:r>
    </w:p>
    <w:p>
      <w:pPr>
        <w:pStyle w:val="1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>
          <w:b w:val="0"/>
          <w:bCs w:val="0"/>
          <w:highlight w:val="none"/>
          <w:lang w:val="pt-BR"/>
        </w:rPr>
      </w:pPr>
      <w:r>
        <w:rPr>
          <w:b w:val="0"/>
          <w:bCs w:val="0"/>
        </w:rPr>
        <w:t xml:space="preserve">Grid de LLMs</w:t>
      </w:r>
      <w:r>
        <w:rPr>
          <w:b w:val="0"/>
          <w:bCs w:val="0"/>
          <w:lang w:val="pt-BR"/>
        </w:rPr>
        <w:t xml:space="preserve">: </w:t>
      </w:r>
      <w:r>
        <w:rPr>
          <w:b w:val="0"/>
          <w:bCs w:val="0"/>
        </w:rPr>
        <w:t xml:space="preserve">GPT-4o</w:t>
      </w:r>
      <w:r>
        <w:rPr>
          <w:b w:val="0"/>
          <w:bCs w:val="0"/>
          <w:lang w:val="pt-BR"/>
        </w:rPr>
        <w:t xml:space="preserve"> e GPT-4.1-mini</w:t>
      </w:r>
      <w:r>
        <w:rPr>
          <w:b w:val="0"/>
          <w:bCs w:val="0"/>
          <w:lang w:val="pt-BR"/>
        </w:rPr>
        <w:t xml:space="preserve">.</w:t>
      </w:r>
      <w:r>
        <w:rPr>
          <w:b w:val="0"/>
          <w:bCs w:val="0"/>
        </w:rPr>
      </w:r>
    </w:p>
    <w:p>
      <w:pPr>
        <w:pStyle w:val="1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b w:val="0"/>
          <w:bCs w:val="0"/>
        </w:rPr>
        <w:t xml:space="preserve">Temperaturas: 0,2 – 0,8; top-p invariável (0,95) para controlar dispersão.</w:t>
      </w:r>
      <w:r/>
    </w:p>
    <w:p>
      <w:pPr>
        <w:pStyle w:val="1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>
          <w:b w:val="0"/>
          <w:bCs w:val="0"/>
          <w:highlight w:val="none"/>
        </w:rPr>
      </w:pPr>
      <w:r>
        <w:rPr>
          <w:b w:val="0"/>
          <w:bCs w:val="0"/>
          <w:lang w:val="pt-BR"/>
        </w:rPr>
        <w:t xml:space="preserve">A</w:t>
      </w:r>
      <w:r>
        <w:rPr>
          <w:b w:val="0"/>
          <w:bCs w:val="0"/>
        </w:rPr>
        <w:t xml:space="preserve">mostragem de θ</w:t>
      </w:r>
      <w:r>
        <w:rPr>
          <w:b w:val="0"/>
          <w:bCs w:val="0"/>
          <w:lang w:val="pt-BR"/>
        </w:rPr>
        <w:t xml:space="preserve">: </w:t>
      </w:r>
      <w:r>
        <w:rPr>
          <w:b w:val="0"/>
          <w:bCs w:val="0"/>
        </w:rPr>
        <w:t xml:space="preserve">θ∼N(0,1) estratificado por nível (cinco quantis).</w:t>
      </w:r>
      <w:r>
        <w:rPr>
          <w:b w:val="0"/>
          <w:bCs w:val="0"/>
          <w:lang w:val="pt-BR"/>
        </w:rPr>
        <w:t xml:space="preserve"> </w:t>
      </w:r>
      <w:r>
        <w:rPr>
          <w:b w:val="0"/>
          <w:bCs w:val="0"/>
        </w:rPr>
        <w:t xml:space="preserve">1 000 respostas por combinação modelo × persona × nível.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1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>
          <w:b w:val="0"/>
          <w:bCs w:val="0"/>
        </w:rPr>
      </w:pPr>
      <w:r>
        <w:rPr>
          <w:b w:val="0"/>
          <w:bCs w:val="0"/>
          <w:lang w:val="pt-BR"/>
        </w:rPr>
        <w:t xml:space="preserve">P</w:t>
      </w:r>
      <w:r>
        <w:rPr>
          <w:b w:val="0"/>
          <w:bCs w:val="0"/>
        </w:rPr>
        <w:t xml:space="preserve">ersonas parametrizadas</w:t>
      </w:r>
      <w:r>
        <w:rPr>
          <w:b w:val="0"/>
          <w:bCs w:val="0"/>
          <w:lang w:val="pt-BR"/>
        </w:rPr>
        <w:t xml:space="preserve">: </w:t>
      </w:r>
      <w:r>
        <w:rPr>
          <w:b w:val="0"/>
          <w:bCs w:val="0"/>
        </w:rPr>
        <w:t xml:space="preserve">Prompt: “You are a sustainability executive with maturity θ = -0.5. Answer the following item…”</w:t>
      </w:r>
      <w:r>
        <w:rPr>
          <w:b w:val="0"/>
          <w:bCs w:val="0"/>
          <w:lang w:val="pt-BR"/>
        </w:rPr>
        <w:t xml:space="preserve"> </w:t>
      </w:r>
      <w:r>
        <w:rPr>
          <w:b w:val="0"/>
          <w:bCs w:val="0"/>
          <w:color w:val="ff0000"/>
          <w:lang w:val="pt-BR"/>
        </w:rPr>
        <w:t xml:space="preserve">(aqui eu preciso que você liste características e possível personalidade dos respondentes reais)</w:t>
      </w:r>
      <w:r>
        <w:rPr>
          <w:b w:val="0"/>
          <w:bCs w:val="0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b/>
          <w:bCs/>
        </w:rPr>
      </w:pPr>
      <w:r>
        <w:rPr>
          <w:b/>
          <w:bCs/>
        </w:rPr>
        <w:t xml:space="preserve">4</w:t>
      </w:r>
      <w:r>
        <w:rPr>
          <w:b/>
          <w:bCs/>
          <w:lang w:val="pt-BR"/>
        </w:rPr>
        <w:t xml:space="preserve">.</w:t>
      </w:r>
      <w:r>
        <w:rPr>
          <w:b/>
          <w:bCs/>
        </w:rPr>
        <w:t xml:space="preserve"> Estimands e métodos de análise</w:t>
      </w:r>
      <w:r>
        <w:rPr>
          <w:b/>
          <w:bCs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16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>
          <w:b w:val="0"/>
          <w:bCs w:val="0"/>
          <w:highlight w:val="none"/>
        </w:rPr>
      </w:pPr>
      <w:r>
        <w:rPr>
          <w:b w:val="0"/>
          <w:bCs w:val="0"/>
        </w:rPr>
        <w:t xml:space="preserve">Calibração GRM</w:t>
      </w:r>
      <w:r>
        <w:rPr>
          <w:b w:val="0"/>
          <w:bCs w:val="0"/>
          <w:lang w:val="pt-BR"/>
        </w:rPr>
        <w:t xml:space="preserve">: </w:t>
      </w:r>
      <w:r>
        <w:rPr>
          <w:b w:val="0"/>
          <w:bCs w:val="0"/>
        </w:rPr>
        <w:t xml:space="preserve">Estimar â, b̂; remover criterio_micro com informação &lt; 0,60 em |θ|≤1.</w:t>
      </w:r>
      <w:r/>
      <w:r>
        <w:rPr>
          <w:b w:val="0"/>
          <w:bCs w:val="0"/>
          <w:highlight w:val="none"/>
        </w:rPr>
      </w:r>
    </w:p>
    <w:p>
      <w:pPr>
        <w:pStyle w:val="16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b w:val="0"/>
          <w:bCs w:val="0"/>
        </w:rPr>
        <w:t xml:space="preserve">CFA-DWLS</w:t>
      </w:r>
      <w:r>
        <w:rPr>
          <w:b w:val="0"/>
          <w:bCs w:val="0"/>
          <w:lang w:val="pt-BR"/>
        </w:rPr>
        <w:t xml:space="preserve">: </w:t>
      </w:r>
      <w:r>
        <w:rPr>
          <w:b w:val="0"/>
          <w:bCs w:val="0"/>
        </w:rPr>
        <w:t xml:space="preserve">Testar estrutura trifatorial; metas: CFI/TLI &gt; 0,95, RMSEA &lt; 0,06.</w:t>
      </w:r>
      <w:r/>
      <w:r>
        <w:rPr>
          <w:b w:val="0"/>
          <w:bCs w:val="0"/>
        </w:rPr>
      </w:r>
    </w:p>
    <w:p>
      <w:pPr>
        <w:pStyle w:val="16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b w:val="0"/>
          <w:bCs w:val="0"/>
        </w:rPr>
        <w:t xml:space="preserve">Psychometric alignment</w:t>
      </w:r>
      <w:r>
        <w:rPr>
          <w:b w:val="0"/>
          <w:bCs w:val="0"/>
          <w:lang w:val="pt-BR"/>
        </w:rPr>
        <w:t xml:space="preserve">: </w:t>
      </w:r>
      <w:r>
        <w:rPr>
          <w:b w:val="0"/>
          <w:bCs w:val="0"/>
        </w:rPr>
        <w:t xml:space="preserve">Métrica Jensen-Shannon entre distribuições de respostas LLM vs. pré-teste humano (quando disponível).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b/>
          <w:bCs/>
          <w:highlight w:val="none"/>
        </w:rPr>
      </w:pPr>
      <w:r>
        <w:rPr>
          <w:b/>
          <w:bCs/>
          <w:lang w:val="pt-BR"/>
        </w:rPr>
        <w:t xml:space="preserve">5. </w:t>
      </w:r>
      <w:r>
        <w:rPr>
          <w:b/>
          <w:bCs/>
        </w:rPr>
        <w:t xml:space="preserve">Síntese e decisão sobre o instrumento final</w:t>
      </w:r>
      <w:r>
        <w:rPr>
          <w:b/>
          <w:bCs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16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b w:val="0"/>
          <w:bCs w:val="0"/>
        </w:rPr>
        <w:t xml:space="preserve">Critérios de retenção</w:t>
      </w:r>
      <w:r>
        <w:rPr>
          <w:b w:val="0"/>
          <w:bCs w:val="0"/>
          <w:lang w:val="pt-BR"/>
        </w:rPr>
        <w:t xml:space="preserve">: </w:t>
      </w:r>
      <w:r>
        <w:rPr>
          <w:b w:val="0"/>
          <w:bCs w:val="0"/>
        </w:rPr>
        <w:t xml:space="preserve">Fidedignidade α, ω ≥ 0,80 por dimensão.</w:t>
      </w:r>
      <w:r>
        <w:rPr>
          <w:b w:val="0"/>
          <w:bCs w:val="0"/>
          <w:lang w:val="pt-BR"/>
        </w:rPr>
        <w:t xml:space="preserve"> </w:t>
      </w:r>
      <w:r>
        <w:rPr>
          <w:b w:val="0"/>
          <w:bCs w:val="0"/>
        </w:rPr>
        <w:t xml:space="preserve">Informação total do teste &gt; 15 em |θ|≤1,5.</w:t>
      </w:r>
      <w:r/>
      <w:r>
        <w:rPr>
          <w:b w:val="0"/>
          <w:bCs w:val="0"/>
        </w:rPr>
      </w:r>
    </w:p>
    <w:p>
      <w:pPr>
        <w:pStyle w:val="16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>
          <w:b w:val="0"/>
          <w:bCs w:val="0"/>
          <w:highlight w:val="none"/>
        </w:rPr>
      </w:pPr>
      <w:r>
        <w:rPr>
          <w:b w:val="0"/>
          <w:bCs w:val="0"/>
        </w:rPr>
        <w:t xml:space="preserve">Versão candidata MMAB-NCAS</w:t>
      </w:r>
      <w:r>
        <w:rPr>
          <w:b w:val="0"/>
          <w:bCs w:val="0"/>
          <w:lang w:val="pt-BR"/>
        </w:rPr>
        <w:t xml:space="preserve">: </w:t>
      </w:r>
      <w:r>
        <w:rPr>
          <w:b w:val="0"/>
          <w:bCs w:val="0"/>
        </w:rPr>
        <w:t xml:space="preserve">Consolidar n_final itens, indicando hierarquia completa no anexo técnico.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sectPr>
      <w:footnotePr/>
      <w:endnotePr/>
      <w:type w:val="nextPage"/>
      <w:pgSz w:h="16838" w:orient="portrait" w:w="11906"/>
      <w:pgMar w:top="1134" w:right="1134" w:bottom="1134" w:left="1134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ourier New">
    <w:panose1 w:val="02070309020205020404"/>
  </w:font>
  <w:font w:name="Symbol">
    <w:panose1 w:val="05010000000000000000"/>
  </w:font>
  <w:font w:name="Wingdings">
    <w:panose1 w:val="05010000000000000000"/>
  </w:font>
  <w:font w:name="Liberation Sans">
    <w:panose1 w:val="020B0604020202020204"/>
  </w:font>
  <w:font w:name="Arial">
    <w:panose1 w:val="020B0604020202020204"/>
  </w:font>
  <w:font w:name="Noto Sans CJK SC Regular">
    <w:panose1 w:val="020B0500000000000000"/>
  </w:font>
  <w:font w:name="FreeSans">
    <w:panose1 w:val="05040102010807070707"/>
  </w:font>
  <w:font w:name="Liberation Serif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ans CJK SC Regular" w:cs="FreeSans"/>
        <w:sz w:val="24"/>
        <w:szCs w:val="24"/>
        <w:lang w:val="en-GB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">
    <w:name w:val="Table Grid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59"/>
    <w:next w:val="659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59"/>
    <w:next w:val="659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59"/>
    <w:next w:val="659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59"/>
    <w:next w:val="659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59"/>
    <w:next w:val="659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59"/>
    <w:next w:val="659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59"/>
    <w:next w:val="659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59"/>
    <w:next w:val="659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59"/>
    <w:next w:val="659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numbering" w:styleId="148" w:default="1">
    <w:name w:val="No List"/>
    <w:uiPriority w:val="99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59"/>
    <w:next w:val="659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59"/>
    <w:next w:val="659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59"/>
    <w:next w:val="659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659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59"/>
    <w:next w:val="659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659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59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59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80">
    <w:name w:val="footnote text"/>
    <w:basedOn w:val="659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59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59"/>
    <w:next w:val="659"/>
    <w:uiPriority w:val="39"/>
    <w:unhideWhenUsed/>
    <w:pPr>
      <w:pBdr/>
      <w:spacing w:after="100"/>
      <w:ind/>
    </w:pPr>
  </w:style>
  <w:style w:type="paragraph" w:styleId="189">
    <w:name w:val="toc 2"/>
    <w:basedOn w:val="659"/>
    <w:next w:val="659"/>
    <w:uiPriority w:val="39"/>
    <w:unhideWhenUsed/>
    <w:pPr>
      <w:pBdr/>
      <w:spacing w:after="100"/>
      <w:ind w:left="220"/>
    </w:pPr>
  </w:style>
  <w:style w:type="paragraph" w:styleId="190">
    <w:name w:val="toc 3"/>
    <w:basedOn w:val="659"/>
    <w:next w:val="659"/>
    <w:uiPriority w:val="39"/>
    <w:unhideWhenUsed/>
    <w:pPr>
      <w:pBdr/>
      <w:spacing w:after="100"/>
      <w:ind w:left="440"/>
    </w:pPr>
  </w:style>
  <w:style w:type="paragraph" w:styleId="191">
    <w:name w:val="toc 4"/>
    <w:basedOn w:val="659"/>
    <w:next w:val="659"/>
    <w:uiPriority w:val="39"/>
    <w:unhideWhenUsed/>
    <w:pPr>
      <w:pBdr/>
      <w:spacing w:after="100"/>
      <w:ind w:left="660"/>
    </w:pPr>
  </w:style>
  <w:style w:type="paragraph" w:styleId="192">
    <w:name w:val="toc 5"/>
    <w:basedOn w:val="659"/>
    <w:next w:val="659"/>
    <w:uiPriority w:val="39"/>
    <w:unhideWhenUsed/>
    <w:pPr>
      <w:pBdr/>
      <w:spacing w:after="100"/>
      <w:ind w:left="880"/>
    </w:pPr>
  </w:style>
  <w:style w:type="paragraph" w:styleId="193">
    <w:name w:val="toc 6"/>
    <w:basedOn w:val="659"/>
    <w:next w:val="659"/>
    <w:uiPriority w:val="39"/>
    <w:unhideWhenUsed/>
    <w:pPr>
      <w:pBdr/>
      <w:spacing w:after="100"/>
      <w:ind w:left="1100"/>
    </w:pPr>
  </w:style>
  <w:style w:type="paragraph" w:styleId="194">
    <w:name w:val="toc 7"/>
    <w:basedOn w:val="659"/>
    <w:next w:val="659"/>
    <w:uiPriority w:val="39"/>
    <w:unhideWhenUsed/>
    <w:pPr>
      <w:pBdr/>
      <w:spacing w:after="100"/>
      <w:ind w:left="1320"/>
    </w:pPr>
  </w:style>
  <w:style w:type="paragraph" w:styleId="195">
    <w:name w:val="toc 8"/>
    <w:basedOn w:val="659"/>
    <w:next w:val="659"/>
    <w:uiPriority w:val="39"/>
    <w:unhideWhenUsed/>
    <w:pPr>
      <w:pBdr/>
      <w:spacing w:after="100"/>
      <w:ind w:left="1540"/>
    </w:pPr>
  </w:style>
  <w:style w:type="paragraph" w:styleId="196">
    <w:name w:val="toc 9"/>
    <w:basedOn w:val="659"/>
    <w:next w:val="659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59"/>
    <w:next w:val="659"/>
    <w:uiPriority w:val="99"/>
    <w:unhideWhenUsed/>
    <w:pPr>
      <w:pBdr/>
      <w:spacing w:after="0" w:afterAutospacing="0"/>
      <w:ind/>
    </w:pPr>
  </w:style>
  <w:style w:type="paragraph" w:styleId="659" w:default="1">
    <w:name w:val="Normal"/>
    <w:qFormat/>
    <w:pPr>
      <w:widowControl w:val="true"/>
      <w:pBdr/>
      <w:spacing/>
      <w:ind/>
    </w:pPr>
    <w:rPr>
      <w:rFonts w:ascii="Liberation Serif" w:hAnsi="Liberation Serif" w:eastAsia="Noto Sans CJK SC Regular" w:cs="FreeSans"/>
      <w:color w:val="auto"/>
      <w:sz w:val="24"/>
      <w:szCs w:val="24"/>
      <w:lang w:val="en-GB" w:eastAsia="zh-CN" w:bidi="hi-IN"/>
    </w:rPr>
  </w:style>
  <w:style w:type="paragraph" w:styleId="660">
    <w:name w:val="Heading"/>
    <w:basedOn w:val="659"/>
    <w:next w:val="661"/>
    <w:qFormat/>
    <w:pPr>
      <w:keepNext w:val="true"/>
      <w:pBdr/>
      <w:spacing w:after="120" w:before="240"/>
      <w:ind/>
    </w:pPr>
    <w:rPr>
      <w:rFonts w:ascii="Liberation Sans" w:hAnsi="Liberation Sans" w:eastAsia="Noto Sans CJK SC Regular" w:cs="FreeSans"/>
      <w:sz w:val="28"/>
      <w:szCs w:val="28"/>
    </w:rPr>
  </w:style>
  <w:style w:type="paragraph" w:styleId="661">
    <w:name w:val="Body Text"/>
    <w:basedOn w:val="659"/>
    <w:pPr>
      <w:pBdr/>
      <w:spacing w:after="140" w:before="0" w:line="288" w:lineRule="auto"/>
      <w:ind/>
    </w:pPr>
  </w:style>
  <w:style w:type="paragraph" w:styleId="662">
    <w:name w:val="List"/>
    <w:basedOn w:val="661"/>
    <w:pPr>
      <w:pBdr/>
      <w:spacing/>
      <w:ind/>
    </w:pPr>
    <w:rPr>
      <w:rFonts w:cs="FreeSans"/>
    </w:rPr>
  </w:style>
  <w:style w:type="paragraph" w:styleId="663">
    <w:name w:val="Caption"/>
    <w:basedOn w:val="659"/>
    <w:qFormat/>
    <w:pPr>
      <w:suppressLineNumbers w:val="true"/>
      <w:pBdr/>
      <w:spacing w:after="120" w:before="120"/>
      <w:ind/>
    </w:pPr>
    <w:rPr>
      <w:rFonts w:cs="FreeSans"/>
      <w:i/>
      <w:iCs/>
      <w:sz w:val="24"/>
      <w:szCs w:val="24"/>
    </w:rPr>
  </w:style>
  <w:style w:type="paragraph" w:styleId="664">
    <w:name w:val="Index"/>
    <w:basedOn w:val="659"/>
    <w:qFormat/>
    <w:pPr>
      <w:suppressLineNumbers w:val="true"/>
      <w:pBdr/>
      <w:spacing/>
      <w:ind/>
    </w:pPr>
    <w:rPr>
      <w:rFonts w:cs="FreeSan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ONLYOFFICE/8.3.3.21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en-GB</dc:language>
  <cp:revision>1</cp:revision>
  <dcterms:created xsi:type="dcterms:W3CDTF">2017-07-29T20:48:12Z</dcterms:created>
  <dcterms:modified xsi:type="dcterms:W3CDTF">2025-06-11T18:42:13Z</dcterms:modified>
</cp:coreProperties>
</file>