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Methodological Notes – Dimensionality and Reliability Assessment of MMAB-NCAS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Objective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section documents the psychometric evaluation of the MMAB-NCAS instrument (22 items, Likert 1-5), applied to 3,600 synthetic respondents generated via large language model prompting. The analysis focused on evaluating the dimensional structure, intern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al consistency and item-level properties using modern psychometric techniques. The goal was to test whether the empirical structure aligns with the theoretical model and to inform decisions on item retention or exclusion.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 Descriptive Structure and Scaling Assumptions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structural check confirmed balanced coverage across response options in most items, with expected asymmetries in items related to advanced blockchain practices. All items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q1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to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q22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were recoded as numeric and treated as ordered categorical indicators.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 Internal Consistency – Cronbach’s Alpha and McDonald’s Omega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Internal consistency was evaluated for the full scale and each of the three latent dimensions across maturity levels (novice, intermediate, advanced). The results were as follows: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10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00"/>
        <w:gridCol w:w="1199"/>
        <w:gridCol w:w="2386"/>
        <w:gridCol w:w="800"/>
        <w:gridCol w:w="627"/>
        <w:gridCol w:w="73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Cut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Profile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Dimension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n_items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Alpha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Omega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full_scale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all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all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0.984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0.984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novice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0.981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0.981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intermediate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0.982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0.982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advanced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0.982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0.984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dimension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all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governance_strategy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0.937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0.940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all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operational_integration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0.953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0.952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all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sustainability_scalability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0.967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0.968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Interpretation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All reliability indices exceed conventional thresholds (&gt;.90), indicating high internal consistency. The proximity between Alpha and Omega suggests minimal violation of tau-equivalence, with Omega confirming robustness under congeneric assumptions.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Reference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McDonald (1999), Raykov &amp; Marcoulides (2011)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 Dimensionality Assessment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3.1 Parallel Analysis (Spearman Matrix)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parallel analysis using Spearman correlations was conducted to determine the number of latent factors. The actual eigenvalues and the average simulated eigenvalues based on 1000 permutations are shown below: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19773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7178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120129" cy="5197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409.2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Interpretation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The first three factors had eigenvalues exceeding those expected by chance, confirming the retention of a three-factor solution.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Reference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Horn (1965), Costello &amp; Osborne (2005)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3.2 Exploratory Factor Analysis (EFA, ML + Promax)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3-factor solution was estimated using maximum likelihood extraction and Promax rotation. The salient loadings (|lambda| ≥ 0.30) are shown below: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ML2   ML3   ML1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q1      -  0.92     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q2      - 0.829     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q3      -     - 1.091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q4      - 0.806     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q5      -     - 0.664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q6      - 0.521     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q7  0.924     -     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q8      - 0.597     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q9  0.715     -     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q10     -     - 0.657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q11     -     - 0.656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q12  1.01     -     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q13 0.435 0.468     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q14     - 0.355 0.388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q15 0.854     -     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q16     -     - 1.096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q17     -     - 0.641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q18 0.368 0.417     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q19 0.405 0.384     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q20     - 0.581     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q21 0.599     -     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q22 0.874     -     -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Interpretation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Most items loaded strongly onto their theoretical dimensions, but cross-loadings in items q13, q14, q18 and q19 suggest partial multidimensionality and potential semantic overlap.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Reference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Fabrigar et al. (1999), Osborne &amp; Costello (2009)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 Confirmatory Factor Analysis (CFA)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theoretical 3-factor model was tested using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lavaan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with DWLS estimation for ordinal indicators. Modification indices were extracted to evaluate local dependence.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Top 10 Residual Covariances (MI):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10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60"/>
        <w:gridCol w:w="360"/>
        <w:gridCol w:w="54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lhs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rhs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MI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q22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792.7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751.2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q22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600.9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q22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592.5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q17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q22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477.6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q22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414.3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q17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375.7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q22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329.9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328.2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q12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324.9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Interpretation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High residual covariances, particularly involving items in the sustainability dimension (q15–q22), suggest strong local dependence or redundancy.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Reference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Brown (2015), Kline (2016)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 Bifactor CFA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bifactor model was estimated with a general factor (G) and three orthogonal specific factors (F1, F2, F3). Model fit was acceptable: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CFI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0.999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TLI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0.999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SRMR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0.056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RMSEA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0.112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Interpretation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The general factor explained substantial shared variance across all items (Std.all ≈ 0.99), confirming a strong general maturity dimension. Several specific factors (notably F3) retained significant residual loadings (e.g., q16 = -0.736), indicating stru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ctured multidimensionality.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Reference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Reise et al. (2007), Rodriguez et al. (2016)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6. Item Response Theory (GRM)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graded response model was fitted to assess item-level discrimination and information contribution. The test information curve and standard errors are shown below: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/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59009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47844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20129" cy="4590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361.4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59009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74069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0129" cy="4590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361.4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Summary of Item Discrimination: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All items had high discrimination values (a ≈ 0.90–0.99), with total explained variance at 91.8% (SS loadings = 20.2). Items q1 to q22 had h2 ranging from 0.792 to 0.975.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Interpretation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The instrument is highly informative across mid-range and upper-intermediate levels of the latent trait (θ ∈ [-2, 3]). No item showed low or flat information curves.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Reference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Samejima (1969), Embretson &amp; Reise (2000)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7. Visual Review of Category Functioning (ICCs Grid)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To complement the statistical summary, all 22 ICCs were visualized in a single grid. Each panel displays the five category response curves as a function of latent trait θ: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Interpretation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Most items exhibit symmetric, orderly thresholds across θ, reinforcing Likert structure validity.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Categories are well defined and evenly spaced for nearly all items.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Items like q6, q15 and q22 have slightly flatter slopes, yet maintain category ordering.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No evidence of disordered thresholds or non-monotonic behavior was observed.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714015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7614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129" cy="7140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562.2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8. Decision on Item Retention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Based on the integrated psychometric evidence, including internal consistency, dimensional modeling, residual diagnostics and item-level IRT performance, the decision is to retain all 22 items in the operational form of MMAB-NCAS.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Justification: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All items display adequate to excellent discrimination.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No item exhibits collapsed categories or erratic response behavior.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Multidimensional structure is consistent with theoretical expectations.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ICCs are well ordered and response thresholds are interpretable.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Flagged items for future review: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q13, q14, q18, q19: present cross-loadings in EFA.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q6, q15, q22: slightly lower discrimination or high modification indices.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Recommendation: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Maintain all 22 items in the scale for initial deployment.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Apply longitudinal monitoring to reassess flagged items.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 future revisions, consider semantic refinement of flagged items rather than elimination.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Final Recommendations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Style w:val="86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Retain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all 22 items for initial operationalization, given high reliability, clear dimensional structure and excellent information.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Flag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items q13–q14 and q18–q19 for revision in future versions due to cross-loadings.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Consider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allowing residual correlations in CFA models if theoretical justifications are available (e.g., q15 ~~ q22).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ICC curves validate the ordinal structure of the response model and confirm that each item operates across the full spectrum of the latent trait with high precision.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References (ABNT style)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BROWN, T. A.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Confirmatory Factor Analysis for Applied Research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2. ed. New York: Guilford Press, 2015.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COSTELLO, A. B.; OSBORNE, J. W. Best practices in exploratory factor analysis: Four recommendations for getting the most from your analysis.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Practical Assessment, Research &amp; Evaluation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v. 10, n. 7, p. 1–9, 2005.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EMBRETSON, S. E.; REISE, S. P.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Item Response Theory for Psychologists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Mahwah: Lawrence Erlbaum Associates, 2000.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FABRIGAR, L. R.; WEGENER, D. T.; MACCALLUM, R. C.; STRAHAN, E. J. Evaluating the use of exploratory factor analysis in psychological research.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Psychological Methods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v. 4, n. 3, p. 272–299, 1999.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HORN, J. L. A rationale and test for the number of factors in factor analysis.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Psychometrika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v. 30, n. 2, p. 179–185, 1965.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KLINE, R. B.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Principles and Practice of Structural Equation Modeling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4. ed. New York: Guilford Press, 2016.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MCDONALD, R. P.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Test Theory: A Unified Treatment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Mahwah: Lawrence Erlbaum, 1999.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OSBORNE, J. W.; COSTELLO, A. B. Best practices in exploratory factor analysis: Four recommendations for getting the most from your analysis.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Pan-Pacific Management Review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v. 12, n. 2, p. 131–146, 2009.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RAYKOV, T.; MARCOULIDES, G. A.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Introduction to Psychometric Theory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New York: Routledge, 2011.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REISE, S. P.; MOORE, T. M.; HAVEL, T. F. Bifactor models and rotations: Exploring the extent to which multidimensional data yield univocal scale scores.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Journal of Personality Assessment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v. 88, n. 2, p. 145–158, 2007.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RODRIGUEZ, A.; REISE, S. P.; HAVEL, T. F. Evaluating bifactor models: Calculating and interpreting statistical indices.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Psychological Methods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v. 21, n. 2, p. 137–150, 2016.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SAMEJIMA, F. Estimation of latent ability using a response pattern of graded scores.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Psychometrika Monograph Supplement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v. 34, n. 4, p. 1–100, 1969.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6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Liberation Sans">
    <w:panose1 w:val="020B0604020202020204"/>
  </w:font>
  <w:font w:name="Arial">
    <w:panose1 w:val="020B0604020202020204"/>
  </w:font>
  <w:font w:name="Noto Sans CJK SC Regular">
    <w:panose1 w:val="020B0500000000000000"/>
  </w:font>
  <w:font w:name="FreeSans">
    <w:panose1 w:val="05040102010807070707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ans CJK SC Regular" w:cs="FreeSans"/>
        <w:sz w:val="24"/>
        <w:szCs w:val="24"/>
        <w:lang w:val="en-GB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6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7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8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9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0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1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2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3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  <w:pPr>
      <w:pBdr/>
      <w:spacing/>
      <w:ind/>
    </w:pPr>
  </w:style>
  <w:style w:type="numbering" w:styleId="846" w:default="1">
    <w:name w:val="No List"/>
    <w:uiPriority w:val="99"/>
    <w:semiHidden/>
    <w:unhideWhenUsed/>
    <w:pPr>
      <w:pBdr/>
      <w:spacing/>
      <w:ind/>
    </w:pPr>
  </w:style>
  <w:style w:type="character" w:styleId="847">
    <w:name w:val="Heading 1 Char"/>
    <w:basedOn w:val="845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5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5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5"/>
    <w:link w:val="8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5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5"/>
    <w:link w:val="8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5"/>
    <w:link w:val="8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5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5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5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5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5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2">
    <w:name w:val="List Paragraph"/>
    <w:basedOn w:val="896"/>
    <w:uiPriority w:val="34"/>
    <w:qFormat/>
    <w:pPr>
      <w:pBdr/>
      <w:spacing/>
      <w:ind w:left="720"/>
      <w:contextualSpacing w:val="true"/>
    </w:pPr>
  </w:style>
  <w:style w:type="character" w:styleId="863">
    <w:name w:val="Intense Emphasis"/>
    <w:basedOn w:val="8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4">
    <w:name w:val="Intense Quote"/>
    <w:basedOn w:val="896"/>
    <w:next w:val="896"/>
    <w:link w:val="8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5">
    <w:name w:val="Intense Quote Char"/>
    <w:basedOn w:val="845"/>
    <w:link w:val="86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6">
    <w:name w:val="Intense Reference"/>
    <w:basedOn w:val="8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7">
    <w:name w:val="No Spacing"/>
    <w:basedOn w:val="896"/>
    <w:uiPriority w:val="1"/>
    <w:qFormat/>
    <w:pPr>
      <w:pBdr/>
      <w:spacing w:after="0" w:line="240" w:lineRule="auto"/>
      <w:ind/>
    </w:pPr>
  </w:style>
  <w:style w:type="character" w:styleId="868">
    <w:name w:val="Subtle Emphasis"/>
    <w:basedOn w:val="8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5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5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5"/>
    <w:link w:val="873"/>
    <w:uiPriority w:val="99"/>
    <w:pPr>
      <w:pBdr/>
      <w:spacing/>
      <w:ind/>
    </w:pPr>
  </w:style>
  <w:style w:type="paragraph" w:styleId="875">
    <w:name w:val="Footer"/>
    <w:basedOn w:val="896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5"/>
    <w:link w:val="875"/>
    <w:uiPriority w:val="99"/>
    <w:pPr>
      <w:pBdr/>
      <w:spacing/>
      <w:ind/>
    </w:pPr>
  </w:style>
  <w:style w:type="paragraph" w:styleId="877">
    <w:name w:val="footnote text"/>
    <w:basedOn w:val="896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Footnote Text Char"/>
    <w:basedOn w:val="845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footnote reference"/>
    <w:basedOn w:val="845"/>
    <w:uiPriority w:val="99"/>
    <w:semiHidden/>
    <w:unhideWhenUsed/>
    <w:pPr>
      <w:pBdr/>
      <w:spacing/>
      <w:ind/>
    </w:pPr>
    <w:rPr>
      <w:vertAlign w:val="superscript"/>
    </w:rPr>
  </w:style>
  <w:style w:type="paragraph" w:styleId="880">
    <w:name w:val="endnote text"/>
    <w:basedOn w:val="896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Endnote Text Char"/>
    <w:basedOn w:val="845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endnote reference"/>
    <w:basedOn w:val="845"/>
    <w:uiPriority w:val="99"/>
    <w:semiHidden/>
    <w:unhideWhenUsed/>
    <w:pPr>
      <w:pBdr/>
      <w:spacing/>
      <w:ind/>
    </w:pPr>
    <w:rPr>
      <w:vertAlign w:val="superscript"/>
    </w:rPr>
  </w:style>
  <w:style w:type="character" w:styleId="883">
    <w:name w:val="Hyperlink"/>
    <w:basedOn w:val="8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4">
    <w:name w:val="FollowedHyperlink"/>
    <w:basedOn w:val="8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5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6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7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8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9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90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1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2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3">
    <w:name w:val="toc 9"/>
    <w:basedOn w:val="896"/>
    <w:next w:val="896"/>
    <w:uiPriority w:val="39"/>
    <w:unhideWhenUsed/>
    <w:pPr>
      <w:pBdr/>
      <w:spacing w:after="100"/>
      <w:ind w:left="1760"/>
    </w:p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widowControl w:val="true"/>
      <w:pBdr/>
      <w:spacing/>
      <w:ind/>
    </w:pPr>
    <w:rPr>
      <w:rFonts w:ascii="Liberation Serif" w:hAnsi="Liberation Serif" w:eastAsia="Noto Sans CJK SC Regular" w:cs="FreeSans"/>
      <w:color w:val="auto"/>
      <w:sz w:val="24"/>
      <w:szCs w:val="24"/>
      <w:lang w:val="en-GB" w:eastAsia="zh-CN" w:bidi="hi-IN"/>
    </w:rPr>
  </w:style>
  <w:style w:type="paragraph" w:styleId="897">
    <w:name w:val="Heading"/>
    <w:basedOn w:val="896"/>
    <w:next w:val="898"/>
    <w:qFormat/>
    <w:pPr>
      <w:keepNext w:val="true"/>
      <w:pBdr/>
      <w:spacing w:after="120" w:before="240"/>
      <w:ind/>
    </w:pPr>
    <w:rPr>
      <w:rFonts w:ascii="Liberation Sans" w:hAnsi="Liberation Sans" w:eastAsia="Noto Sans CJK SC Regular" w:cs="FreeSans"/>
      <w:sz w:val="28"/>
      <w:szCs w:val="28"/>
    </w:rPr>
  </w:style>
  <w:style w:type="paragraph" w:styleId="898">
    <w:name w:val="Body Text"/>
    <w:basedOn w:val="896"/>
    <w:pPr>
      <w:pBdr/>
      <w:spacing w:after="140" w:before="0" w:line="288" w:lineRule="auto"/>
      <w:ind/>
    </w:pPr>
  </w:style>
  <w:style w:type="paragraph" w:styleId="899">
    <w:name w:val="List"/>
    <w:basedOn w:val="898"/>
    <w:pPr>
      <w:pBdr/>
      <w:spacing/>
      <w:ind/>
    </w:pPr>
    <w:rPr>
      <w:rFonts w:cs="FreeSans"/>
    </w:rPr>
  </w:style>
  <w:style w:type="paragraph" w:styleId="900">
    <w:name w:val="Caption"/>
    <w:basedOn w:val="896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901">
    <w:name w:val="Index"/>
    <w:basedOn w:val="896"/>
    <w:qFormat/>
    <w:pPr>
      <w:suppressLineNumbers w:val="true"/>
      <w:pBdr/>
      <w:spacing/>
      <w:ind/>
    </w:pPr>
    <w:rPr>
      <w:rFonts w:cs="FreeSan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ONLYOFFICE/8.3.3.21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en-GB</dc:language>
  <cp:revision>2</cp:revision>
  <dcterms:created xsi:type="dcterms:W3CDTF">2017-07-29T20:48:12Z</dcterms:created>
  <dcterms:modified xsi:type="dcterms:W3CDTF">2025-06-16T20:24:35Z</dcterms:modified>
</cp:coreProperties>
</file>