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Technical Report</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Meta‑validation of the MMAB‑NCAS Questionnaire Using Large Language Models (LLMs)</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1 Introduction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Adopting blockchain within sustainable agri‑food supply chains requires reliable instruments for measuring a firm’s maturity level. The 22‑item MMAB‑NCAS questionnaire was developed for that purpose. To anticipate psychometric calibration without relying o</w:t>
      </w:r>
      <w:r>
        <w:rPr>
          <w:rFonts w:ascii="Times New Roman" w:hAnsi="Times New Roman" w:eastAsia="Times New Roman" w:cs="Times New Roman"/>
          <w:color w:val="000000"/>
          <w:sz w:val="24"/>
          <w:szCs w:val="24"/>
        </w:rPr>
        <w:t xml:space="preserve">n human respondents, a meta‑validation strategy based on large language models (LLMs)—specifically GPT‑4‑1‑mini—was employed. This report details the experimental design, synthetic‑data generation procedures, analytical techniques, and results.</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2 Objectives</w:t>
      </w:r>
      <w:r>
        <w:rPr>
          <w:rFonts w:ascii="Times New Roman" w:hAnsi="Times New Roman" w:eastAsia="Times New Roman" w:cs="Times New Roman"/>
          <w:sz w:val="24"/>
          <w:szCs w:val="24"/>
        </w:rPr>
      </w:r>
    </w:p>
    <w:p>
      <w:pPr>
        <w:pStyle w:val="874"/>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Quantify bias and precision of Graded Response Model (GRM) parameters obtained from artificial responses.</w:t>
      </w:r>
      <w:r>
        <w:rPr>
          <w:rFonts w:ascii="Times New Roman" w:hAnsi="Times New Roman" w:eastAsia="Times New Roman" w:cs="Times New Roman"/>
          <w:sz w:val="24"/>
          <w:szCs w:val="24"/>
        </w:rPr>
      </w:r>
    </w:p>
    <w:p>
      <w:pPr>
        <w:pStyle w:val="874"/>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Verify the structural fit of the instrument via Confirmatory Factor Analysis (CFA).</w:t>
      </w:r>
      <w:r>
        <w:rPr>
          <w:rFonts w:ascii="Times New Roman" w:hAnsi="Times New Roman" w:eastAsia="Times New Roman" w:cs="Times New Roman"/>
          <w:sz w:val="24"/>
          <w:szCs w:val="24"/>
        </w:rPr>
      </w:r>
    </w:p>
    <w:p>
      <w:pPr>
        <w:pStyle w:val="874"/>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Identify items with sub‑optimal psychometric performance for future refinement.</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3 Theoretical Background</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The use of LLMs as respondents is grounded in recent literature on </w:t>
      </w:r>
      <w:r>
        <w:rPr>
          <w:rFonts w:ascii="Times New Roman" w:hAnsi="Times New Roman" w:eastAsia="Times New Roman" w:cs="Times New Roman"/>
          <w:b/>
          <w:color w:val="000000"/>
          <w:sz w:val="24"/>
          <w:szCs w:val="24"/>
        </w:rPr>
        <w:t xml:space="preserve">LLM‑psychometrics</w:t>
      </w:r>
      <w:r>
        <w:rPr>
          <w:rFonts w:ascii="Times New Roman" w:hAnsi="Times New Roman" w:eastAsia="Times New Roman" w:cs="Times New Roman"/>
          <w:color w:val="000000"/>
          <w:sz w:val="24"/>
          <w:szCs w:val="24"/>
        </w:rPr>
        <w:t xml:space="preserve">, demonstrations of automatic data generation for educational scales, and ADEMP‑based Monte Carlo methodologies. Key studies explore psychometric alignment between human and AI distributions and systematic reviews of the consistency of classical metrics wh</w:t>
      </w:r>
      <w:r>
        <w:rPr>
          <w:rFonts w:ascii="Times New Roman" w:hAnsi="Times New Roman" w:eastAsia="Times New Roman" w:cs="Times New Roman"/>
          <w:color w:val="000000"/>
          <w:sz w:val="24"/>
          <w:szCs w:val="24"/>
        </w:rPr>
        <w:t xml:space="preserve">en applied to synthetic outputs.</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4 Methodology</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4.1 ADEMP Cycle</w:t>
      </w:r>
      <w:r>
        <w:rPr>
          <w:rFonts w:ascii="Times New Roman" w:hAnsi="Times New Roman" w:eastAsia="Times New Roman" w:cs="Times New Roman"/>
          <w:sz w:val="24"/>
          <w:szCs w:val="24"/>
        </w:rPr>
      </w:r>
    </w:p>
    <w:p>
      <w:pPr>
        <w:pStyle w:val="874"/>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Aims:</w:t>
      </w:r>
      <w:r>
        <w:rPr>
          <w:rFonts w:ascii="Times New Roman" w:hAnsi="Times New Roman" w:eastAsia="Times New Roman" w:cs="Times New Roman"/>
          <w:color w:val="000000"/>
          <w:sz w:val="24"/>
          <w:szCs w:val="24"/>
        </w:rPr>
        <w:t xml:space="preserve"> attain |bias| &lt; 0.05 and RMSE &lt; 0.10 for GRM parameters.</w:t>
      </w:r>
      <w:r>
        <w:rPr>
          <w:rFonts w:ascii="Times New Roman" w:hAnsi="Times New Roman" w:eastAsia="Times New Roman" w:cs="Times New Roman"/>
          <w:sz w:val="24"/>
          <w:szCs w:val="24"/>
        </w:rPr>
      </w:r>
    </w:p>
    <w:p>
      <w:pPr>
        <w:pStyle w:val="874"/>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Data‑generating mechanisms:</w:t>
      </w:r>
      <w:r>
        <w:rPr>
          <w:rFonts w:ascii="Times New Roman" w:hAnsi="Times New Roman" w:eastAsia="Times New Roman" w:cs="Times New Roman"/>
          <w:color w:val="000000"/>
          <w:sz w:val="24"/>
          <w:szCs w:val="24"/>
        </w:rPr>
        <w:t xml:space="preserve"> three maturity profiles (novice, intermediate, advanced) with θ∼N(μ,σ²) and three executive personas (sustainability, technology, operations).</w:t>
      </w:r>
      <w:r>
        <w:rPr>
          <w:rFonts w:ascii="Times New Roman" w:hAnsi="Times New Roman" w:eastAsia="Times New Roman" w:cs="Times New Roman"/>
          <w:sz w:val="24"/>
          <w:szCs w:val="24"/>
        </w:rPr>
      </w:r>
    </w:p>
    <w:p>
      <w:pPr>
        <w:pStyle w:val="874"/>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Estimands:</w:t>
      </w:r>
      <w:r>
        <w:rPr>
          <w:rFonts w:ascii="Times New Roman" w:hAnsi="Times New Roman" w:eastAsia="Times New Roman" w:cs="Times New Roman"/>
          <w:color w:val="000000"/>
          <w:sz w:val="24"/>
          <w:szCs w:val="24"/>
        </w:rPr>
        <w:t xml:space="preserve"> vectors â and b̂, CFI/TLI/RMSEA indices, and α/ω coefficients.</w:t>
      </w:r>
      <w:r>
        <w:rPr>
          <w:rFonts w:ascii="Times New Roman" w:hAnsi="Times New Roman" w:eastAsia="Times New Roman" w:cs="Times New Roman"/>
          <w:sz w:val="24"/>
          <w:szCs w:val="24"/>
        </w:rPr>
      </w:r>
    </w:p>
    <w:p>
      <w:pPr>
        <w:pStyle w:val="874"/>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Methods:</w:t>
      </w:r>
      <w:r>
        <w:rPr>
          <w:rFonts w:ascii="Times New Roman" w:hAnsi="Times New Roman" w:eastAsia="Times New Roman" w:cs="Times New Roman"/>
          <w:color w:val="000000"/>
          <w:sz w:val="24"/>
          <w:szCs w:val="24"/>
        </w:rPr>
        <w:t xml:space="preserve"> GRM calibration with </w:t>
      </w:r>
      <w:r>
        <w:rPr>
          <w:rFonts w:ascii="Times New Roman" w:hAnsi="Times New Roman" w:eastAsia="Times New Roman" w:cs="Times New Roman"/>
          <w:color w:val="000000"/>
          <w:sz w:val="24"/>
          <w:szCs w:val="24"/>
        </w:rPr>
        <w:t xml:space="preserve">mirt</w:t>
      </w:r>
      <w:r>
        <w:rPr>
          <w:rFonts w:ascii="Times New Roman" w:hAnsi="Times New Roman" w:eastAsia="Times New Roman" w:cs="Times New Roman"/>
          <w:color w:val="000000"/>
          <w:sz w:val="24"/>
          <w:szCs w:val="24"/>
        </w:rPr>
        <w:t xml:space="preserve">, robust DWLS‑based CFA, and parallel analysis.</w:t>
      </w:r>
      <w:r>
        <w:rPr>
          <w:rFonts w:ascii="Times New Roman" w:hAnsi="Times New Roman" w:eastAsia="Times New Roman" w:cs="Times New Roman"/>
          <w:sz w:val="24"/>
          <w:szCs w:val="24"/>
        </w:rPr>
      </w:r>
    </w:p>
    <w:p>
      <w:pPr>
        <w:pStyle w:val="874"/>
        <w:numPr>
          <w:ilvl w:val="0"/>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Performance:</w:t>
      </w:r>
      <w:r>
        <w:rPr>
          <w:rFonts w:ascii="Times New Roman" w:hAnsi="Times New Roman" w:eastAsia="Times New Roman" w:cs="Times New Roman"/>
          <w:color w:val="000000"/>
          <w:sz w:val="24"/>
          <w:szCs w:val="24"/>
        </w:rPr>
        <w:t xml:space="preserve"> test information &gt; 15 for |θ| ≤ 1.5; α, ω ≥ 0.80.</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4.2 Synthetic‑Data Generation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GPT‑4‑1‑mini was used exclusively with default temperature and </w:t>
      </w:r>
      <w:r>
        <w:rPr>
          <w:rFonts w:ascii="Times New Roman" w:hAnsi="Times New Roman" w:eastAsia="Times New Roman" w:cs="Times New Roman"/>
          <w:color w:val="000000"/>
          <w:sz w:val="24"/>
          <w:szCs w:val="24"/>
        </w:rPr>
        <w:t xml:space="preserve">top_p = 0.95</w:t>
      </w:r>
      <w:r>
        <w:rPr>
          <w:rFonts w:ascii="Times New Roman" w:hAnsi="Times New Roman" w:eastAsia="Times New Roman" w:cs="Times New Roman"/>
          <w:color w:val="000000"/>
          <w:sz w:val="24"/>
          <w:szCs w:val="24"/>
        </w:rPr>
        <w:t xml:space="preserve">. Each prompt contained the full questionnaire, an imposed θ value, persona context, and JSON response instructions. A total of 3 600 prompts were issued (20 replicas × 3 profiles × 60 respondents).</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4.3 LLM Profile and Rationale</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The choice of GPT‑4‑1‑mini—an instruction‑tuned variant with reduced context window and lower token cost—was guided by three criteria:</w:t>
      </w:r>
      <w:r>
        <w:rPr>
          <w:rFonts w:ascii="Times New Roman" w:hAnsi="Times New Roman" w:eastAsia="Times New Roman" w:cs="Times New Roman"/>
          <w:sz w:val="24"/>
          <w:szCs w:val="24"/>
        </w:rPr>
      </w:r>
    </w:p>
    <w:p>
      <w:pPr>
        <w:pStyle w:val="874"/>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Architectural transparency:</w:t>
      </w:r>
      <w:r>
        <w:rPr>
          <w:rFonts w:ascii="Times New Roman" w:hAnsi="Times New Roman" w:eastAsia="Times New Roman" w:cs="Times New Roman"/>
          <w:color w:val="000000"/>
          <w:sz w:val="24"/>
          <w:szCs w:val="24"/>
        </w:rPr>
        <w:t xml:space="preserve"> the model exposes a deterministic JSON mode (</w:t>
      </w:r>
      <w:r>
        <w:rPr>
          <w:rFonts w:ascii="Times New Roman" w:hAnsi="Times New Roman" w:eastAsia="Times New Roman" w:cs="Times New Roman"/>
          <w:color w:val="000000"/>
          <w:sz w:val="24"/>
          <w:szCs w:val="24"/>
        </w:rPr>
        <w:t xml:space="preserve">response_format={"type":"json_object"}</w:t>
      </w:r>
      <w:r>
        <w:rPr>
          <w:rFonts w:ascii="Times New Roman" w:hAnsi="Times New Roman" w:eastAsia="Times New Roman" w:cs="Times New Roman"/>
          <w:color w:val="000000"/>
          <w:sz w:val="24"/>
          <w:szCs w:val="24"/>
        </w:rPr>
        <w:t xml:space="preserve">), reducing post‑processing errors.</w:t>
      </w:r>
      <w:r>
        <w:rPr>
          <w:rFonts w:ascii="Times New Roman" w:hAnsi="Times New Roman" w:eastAsia="Times New Roman" w:cs="Times New Roman"/>
          <w:sz w:val="24"/>
          <w:szCs w:val="24"/>
        </w:rPr>
      </w:r>
    </w:p>
    <w:p>
      <w:pPr>
        <w:pStyle w:val="874"/>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Reproducibility:</w:t>
      </w:r>
      <w:r>
        <w:rPr>
          <w:rFonts w:ascii="Times New Roman" w:hAnsi="Times New Roman" w:eastAsia="Times New Roman" w:cs="Times New Roman"/>
          <w:color w:val="000000"/>
          <w:sz w:val="24"/>
          <w:szCs w:val="24"/>
        </w:rPr>
        <w:t xml:space="preserve"> OpenAI guarantees model versioning, enabling exact replication of prompts in future audits.</w:t>
      </w:r>
      <w:r>
        <w:rPr>
          <w:rFonts w:ascii="Times New Roman" w:hAnsi="Times New Roman" w:eastAsia="Times New Roman" w:cs="Times New Roman"/>
          <w:sz w:val="24"/>
          <w:szCs w:val="24"/>
        </w:rPr>
      </w:r>
    </w:p>
    <w:p>
      <w:pPr>
        <w:pStyle w:val="874"/>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Cost–benefit trade‑off:</w:t>
      </w:r>
      <w:r>
        <w:rPr>
          <w:rFonts w:ascii="Times New Roman" w:hAnsi="Times New Roman" w:eastAsia="Times New Roman" w:cs="Times New Roman"/>
          <w:color w:val="000000"/>
          <w:sz w:val="24"/>
          <w:szCs w:val="24"/>
        </w:rPr>
        <w:t xml:space="preserve"> throughput of 3 600 prompts with full‑questionnaire context remains financially feasible, whereas larger models (e.g., GPT‑4‑o) would multiply costs by 4‑6× for marginal psychometric gain.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Although only one LLM family was adopted, the agenda records temperature, top‑p and seed for each call, allowing future cross‑validation with alternative models such as Claude‑Opus or Mixtral‑MoE. This aligns with recommendations from recent LLM‑psychometr</w:t>
      </w:r>
      <w:r>
        <w:rPr>
          <w:rFonts w:ascii="Times New Roman" w:hAnsi="Times New Roman" w:eastAsia="Times New Roman" w:cs="Times New Roman"/>
          <w:color w:val="000000"/>
          <w:sz w:val="24"/>
          <w:szCs w:val="24"/>
        </w:rPr>
        <w:t xml:space="preserve">ics surveys, which advocate incremental expansion to a multi‑model grid once baseline stability is confirmed.</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GPT‑4‑1‑mini was used exclusively with default temperature and </w:t>
      </w:r>
      <w:r>
        <w:rPr>
          <w:rFonts w:ascii="Times New Roman" w:hAnsi="Times New Roman" w:eastAsia="Times New Roman" w:cs="Times New Roman"/>
          <w:color w:val="000000"/>
          <w:sz w:val="24"/>
          <w:szCs w:val="24"/>
        </w:rPr>
        <w:t xml:space="preserve">top_p = 0.95</w:t>
      </w:r>
      <w:r>
        <w:rPr>
          <w:rFonts w:ascii="Times New Roman" w:hAnsi="Times New Roman" w:eastAsia="Times New Roman" w:cs="Times New Roman"/>
          <w:color w:val="000000"/>
          <w:sz w:val="24"/>
          <w:szCs w:val="24"/>
        </w:rPr>
        <w:t xml:space="preserve">. Each prompt contained the full questionnaire, an imposed θ value, persona context, and JSON response instructions. A total of 3 600 prompts were issued (20 replicas × 3 profiles × 60 respondents).</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4.3 Personas Specification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Three executive personas were defined to emulate realistic decision‑maker perspectives:</w:t>
      </w:r>
      <w:r>
        <w:rPr>
          <w:rFonts w:ascii="Times New Roman" w:hAnsi="Times New Roman" w:eastAsia="Times New Roman" w:cs="Times New Roman"/>
          <w:sz w:val="24"/>
          <w:szCs w:val="24"/>
        </w:rPr>
      </w:r>
    </w:p>
    <w:tbl>
      <w:tblPr>
        <w:tblStyle w:val="72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57"/>
        <w:gridCol w:w="1212"/>
        <w:gridCol w:w="4425"/>
        <w:gridCol w:w="2661"/>
      </w:tblGrid>
      <w:tr>
        <w:trPr/>
        <w:tc>
          <w:tcPr>
            <w:tcBorders/>
            <w:tcMar>
              <w:left w:w="15" w:type="dxa"/>
              <w:top w:w="15" w:type="dxa"/>
              <w:right w:w="15" w:type="dxa"/>
              <w:bottom w:w="15" w:type="dxa"/>
            </w:tcMar>
            <w:tcW w:w="1057" w:type="dxa"/>
            <w:vAlign w:val="center"/>
            <w:textDirection w:val="lrTb"/>
            <w:noWrap w:val="false"/>
          </w:tcPr>
          <w:p>
            <w:pPr>
              <w:pBdr/>
              <w:spacing w:after="0" w:before="0" w:line="240"/>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Persona ID</w:t>
            </w:r>
            <w:r>
              <w:rPr>
                <w:rFonts w:ascii="Times New Roman" w:hAnsi="Times New Roman" w:eastAsia="Times New Roman" w:cs="Times New Roman"/>
                <w:sz w:val="24"/>
                <w:szCs w:val="24"/>
              </w:rPr>
            </w:r>
          </w:p>
        </w:tc>
        <w:tc>
          <w:tcPr>
            <w:tcBorders/>
            <w:tcMar>
              <w:left w:w="15" w:type="dxa"/>
              <w:top w:w="15" w:type="dxa"/>
              <w:right w:w="15" w:type="dxa"/>
              <w:bottom w:w="15" w:type="dxa"/>
            </w:tcMar>
            <w:tcW w:w="1212" w:type="dxa"/>
            <w:vAlign w:val="center"/>
            <w:textDirection w:val="lrTb"/>
            <w:noWrap w:val="false"/>
          </w:tcPr>
          <w:p>
            <w:pPr>
              <w:pBdr/>
              <w:spacing w:after="0" w:before="0" w:line="240"/>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Executive Role</w:t>
            </w:r>
            <w:r>
              <w:rPr>
                <w:rFonts w:ascii="Times New Roman" w:hAnsi="Times New Roman" w:eastAsia="Times New Roman" w:cs="Times New Roman"/>
                <w:sz w:val="24"/>
                <w:szCs w:val="24"/>
              </w:rPr>
            </w:r>
          </w:p>
        </w:tc>
        <w:tc>
          <w:tcPr>
            <w:tcBorders/>
            <w:tcMar>
              <w:left w:w="15" w:type="dxa"/>
              <w:top w:w="15" w:type="dxa"/>
              <w:right w:w="15" w:type="dxa"/>
              <w:bottom w:w="15" w:type="dxa"/>
            </w:tcMar>
            <w:tcW w:w="4425" w:type="dxa"/>
            <w:vAlign w:val="center"/>
            <w:textDirection w:val="lrTb"/>
            <w:noWrap w:val="false"/>
          </w:tcPr>
          <w:p>
            <w:pPr>
              <w:pBdr/>
              <w:spacing w:after="0" w:before="0" w:line="240"/>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Core Objectives</w:t>
            </w:r>
            <w:r>
              <w:rPr>
                <w:rFonts w:ascii="Times New Roman" w:hAnsi="Times New Roman" w:eastAsia="Times New Roman" w:cs="Times New Roman"/>
                <w:sz w:val="24"/>
                <w:szCs w:val="24"/>
              </w:rPr>
            </w:r>
          </w:p>
        </w:tc>
        <w:tc>
          <w:tcPr>
            <w:tcBorders/>
            <w:tcMar>
              <w:left w:w="15" w:type="dxa"/>
              <w:top w:w="15" w:type="dxa"/>
              <w:right w:w="15" w:type="dxa"/>
              <w:bottom w:w="15" w:type="dxa"/>
            </w:tcMar>
            <w:tcW w:w="2661" w:type="dxa"/>
            <w:vAlign w:val="center"/>
            <w:textDirection w:val="lrTb"/>
            <w:noWrap w:val="false"/>
          </w:tcPr>
          <w:p>
            <w:pPr>
              <w:pBdr/>
              <w:spacing w:after="0" w:before="0" w:line="240"/>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Typical KPIs</w:t>
            </w:r>
            <w:r>
              <w:rPr>
                <w:rFonts w:ascii="Times New Roman" w:hAnsi="Times New Roman" w:eastAsia="Times New Roman" w:cs="Times New Roman"/>
                <w:sz w:val="24"/>
                <w:szCs w:val="24"/>
              </w:rPr>
            </w:r>
          </w:p>
        </w:tc>
      </w:tr>
      <w:tr>
        <w:trPr/>
        <w:tc>
          <w:tcPr>
            <w:tcBorders/>
            <w:tcMar>
              <w:left w:w="15" w:type="dxa"/>
              <w:top w:w="15" w:type="dxa"/>
              <w:right w:w="15" w:type="dxa"/>
              <w:bottom w:w="15" w:type="dxa"/>
            </w:tcMar>
            <w:tcW w:w="1057"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strategy_sustainability</w:t>
            </w:r>
            <w:r>
              <w:rPr>
                <w:rFonts w:ascii="Times New Roman" w:hAnsi="Times New Roman" w:eastAsia="Times New Roman" w:cs="Times New Roman"/>
                <w:sz w:val="24"/>
                <w:szCs w:val="24"/>
              </w:rPr>
            </w:r>
          </w:p>
        </w:tc>
        <w:tc>
          <w:tcPr>
            <w:tcBorders/>
            <w:tcMar>
              <w:left w:w="15" w:type="dxa"/>
              <w:top w:w="15" w:type="dxa"/>
              <w:right w:w="15" w:type="dxa"/>
              <w:bottom w:w="15" w:type="dxa"/>
            </w:tcMar>
            <w:tcW w:w="1212"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Chief Sustainability Officer</w:t>
            </w:r>
            <w:r>
              <w:rPr>
                <w:rFonts w:ascii="Times New Roman" w:hAnsi="Times New Roman" w:eastAsia="Times New Roman" w:cs="Times New Roman"/>
                <w:sz w:val="24"/>
                <w:szCs w:val="24"/>
              </w:rPr>
            </w:r>
          </w:p>
        </w:tc>
        <w:tc>
          <w:tcPr>
            <w:tcBorders/>
            <w:tcMar>
              <w:left w:w="15" w:type="dxa"/>
              <w:top w:w="15" w:type="dxa"/>
              <w:right w:w="15" w:type="dxa"/>
              <w:bottom w:w="15" w:type="dxa"/>
            </w:tcMar>
            <w:tcW w:w="4425"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Reduce GHG emissions; ensure ESG compliance; enhance corporate reputation</w:t>
            </w:r>
            <w:r>
              <w:rPr>
                <w:rFonts w:ascii="Times New Roman" w:hAnsi="Times New Roman" w:eastAsia="Times New Roman" w:cs="Times New Roman"/>
                <w:sz w:val="24"/>
                <w:szCs w:val="24"/>
              </w:rPr>
            </w:r>
          </w:p>
        </w:tc>
        <w:tc>
          <w:tcPr>
            <w:tcBorders/>
            <w:tcMar>
              <w:left w:w="15" w:type="dxa"/>
              <w:top w:w="15" w:type="dxa"/>
              <w:right w:w="15" w:type="dxa"/>
              <w:bottom w:w="15" w:type="dxa"/>
            </w:tcMar>
            <w:tcW w:w="2661"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tCO₂e avoided; CSRD score; brand reputation index</w:t>
            </w:r>
            <w:r>
              <w:rPr>
                <w:rFonts w:ascii="Times New Roman" w:hAnsi="Times New Roman" w:eastAsia="Times New Roman" w:cs="Times New Roman"/>
                <w:sz w:val="24"/>
                <w:szCs w:val="24"/>
              </w:rPr>
            </w:r>
          </w:p>
        </w:tc>
      </w:tr>
      <w:tr>
        <w:trPr/>
        <w:tc>
          <w:tcPr>
            <w:tcBorders/>
            <w:tcMar>
              <w:left w:w="15" w:type="dxa"/>
              <w:top w:w="15" w:type="dxa"/>
              <w:right w:w="15" w:type="dxa"/>
              <w:bottom w:w="15" w:type="dxa"/>
            </w:tcMar>
            <w:tcW w:w="1057"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strategy_technology</w:t>
            </w:r>
            <w:r>
              <w:rPr>
                <w:rFonts w:ascii="Times New Roman" w:hAnsi="Times New Roman" w:eastAsia="Times New Roman" w:cs="Times New Roman"/>
                <w:sz w:val="24"/>
                <w:szCs w:val="24"/>
              </w:rPr>
            </w:r>
          </w:p>
        </w:tc>
        <w:tc>
          <w:tcPr>
            <w:tcBorders/>
            <w:tcMar>
              <w:left w:w="15" w:type="dxa"/>
              <w:top w:w="15" w:type="dxa"/>
              <w:right w:w="15" w:type="dxa"/>
              <w:bottom w:w="15" w:type="dxa"/>
            </w:tcMar>
            <w:tcW w:w="1212"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Chief Technology Officer</w:t>
            </w:r>
            <w:r>
              <w:rPr>
                <w:rFonts w:ascii="Times New Roman" w:hAnsi="Times New Roman" w:eastAsia="Times New Roman" w:cs="Times New Roman"/>
                <w:sz w:val="24"/>
                <w:szCs w:val="24"/>
              </w:rPr>
            </w:r>
          </w:p>
        </w:tc>
        <w:tc>
          <w:tcPr>
            <w:tcBorders/>
            <w:tcMar>
              <w:left w:w="15" w:type="dxa"/>
              <w:top w:w="15" w:type="dxa"/>
              <w:right w:w="15" w:type="dxa"/>
              <w:bottom w:w="15" w:type="dxa"/>
            </w:tcMar>
            <w:tcW w:w="4425"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Modernise digital architecture; integrate blockchain with legacy systems; strengthen data governance</w:t>
            </w:r>
            <w:r>
              <w:rPr>
                <w:rFonts w:ascii="Times New Roman" w:hAnsi="Times New Roman" w:eastAsia="Times New Roman" w:cs="Times New Roman"/>
                <w:sz w:val="24"/>
                <w:szCs w:val="24"/>
              </w:rPr>
            </w:r>
          </w:p>
        </w:tc>
        <w:tc>
          <w:tcPr>
            <w:tcBorders/>
            <w:tcMar>
              <w:left w:w="15" w:type="dxa"/>
              <w:top w:w="15" w:type="dxa"/>
              <w:right w:w="15" w:type="dxa"/>
              <w:bottom w:w="15" w:type="dxa"/>
            </w:tcMar>
            <w:tcW w:w="2661"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tech‑debt ratio; platform uptime; ROI on blockchain projects</w:t>
            </w:r>
            <w:r>
              <w:rPr>
                <w:rFonts w:ascii="Times New Roman" w:hAnsi="Times New Roman" w:eastAsia="Times New Roman" w:cs="Times New Roman"/>
                <w:sz w:val="24"/>
                <w:szCs w:val="24"/>
              </w:rPr>
            </w:r>
          </w:p>
        </w:tc>
      </w:tr>
      <w:tr>
        <w:trPr/>
        <w:tc>
          <w:tcPr>
            <w:tcBorders/>
            <w:tcMar>
              <w:left w:w="15" w:type="dxa"/>
              <w:top w:w="15" w:type="dxa"/>
              <w:right w:w="15" w:type="dxa"/>
              <w:bottom w:w="15" w:type="dxa"/>
            </w:tcMar>
            <w:tcW w:w="1057"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operations</w:t>
            </w:r>
            <w:r>
              <w:rPr>
                <w:rFonts w:ascii="Times New Roman" w:hAnsi="Times New Roman" w:eastAsia="Times New Roman" w:cs="Times New Roman"/>
                <w:sz w:val="24"/>
                <w:szCs w:val="24"/>
              </w:rPr>
            </w:r>
          </w:p>
        </w:tc>
        <w:tc>
          <w:tcPr>
            <w:tcBorders/>
            <w:tcMar>
              <w:left w:w="15" w:type="dxa"/>
              <w:top w:w="15" w:type="dxa"/>
              <w:right w:w="15" w:type="dxa"/>
              <w:bottom w:w="15" w:type="dxa"/>
            </w:tcMar>
            <w:tcW w:w="1212"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Director of Operations</w:t>
            </w:r>
            <w:r>
              <w:rPr>
                <w:rFonts w:ascii="Times New Roman" w:hAnsi="Times New Roman" w:eastAsia="Times New Roman" w:cs="Times New Roman"/>
                <w:sz w:val="24"/>
                <w:szCs w:val="24"/>
              </w:rPr>
            </w:r>
          </w:p>
        </w:tc>
        <w:tc>
          <w:tcPr>
            <w:tcBorders/>
            <w:tcMar>
              <w:left w:w="15" w:type="dxa"/>
              <w:top w:w="15" w:type="dxa"/>
              <w:right w:w="15" w:type="dxa"/>
              <w:bottom w:w="15" w:type="dxa"/>
            </w:tcMar>
            <w:tcW w:w="4425"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Optimise logistics cost; guarantee end‑to‑end traceability; maintain quality certifications</w:t>
            </w:r>
            <w:r>
              <w:rPr>
                <w:rFonts w:ascii="Times New Roman" w:hAnsi="Times New Roman" w:eastAsia="Times New Roman" w:cs="Times New Roman"/>
                <w:sz w:val="24"/>
                <w:szCs w:val="24"/>
              </w:rPr>
            </w:r>
          </w:p>
        </w:tc>
        <w:tc>
          <w:tcPr>
            <w:tcBorders/>
            <w:tcMar>
              <w:left w:w="15" w:type="dxa"/>
              <w:top w:w="15" w:type="dxa"/>
              <w:right w:w="15" w:type="dxa"/>
              <w:bottom w:w="15" w:type="dxa"/>
            </w:tcMar>
            <w:tcW w:w="2661" w:type="dxa"/>
            <w:vAlign w:val="center"/>
            <w:textDirection w:val="lrTb"/>
            <w:noWrap w:val="false"/>
          </w:tcPr>
          <w:p>
            <w:pPr>
              <w:pBdr/>
              <w:spacing w:after="0" w:before="0" w:line="240"/>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OTIF %; cost per unit; batch lead time</w:t>
            </w:r>
            <w:r>
              <w:rPr>
                <w:rFonts w:ascii="Times New Roman" w:hAnsi="Times New Roman" w:eastAsia="Times New Roman" w:cs="Times New Roman"/>
                <w:sz w:val="24"/>
                <w:szCs w:val="24"/>
              </w:rPr>
            </w:r>
          </w:p>
        </w:tc>
      </w:tr>
    </w:tbl>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Each prompt includes the persona’s role and the first core objective to provide contextual grounding for the LLM. This design follows recommendations from Liu et al. (2025) on enhancing response variability by embedding domain‑specific goals.</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4.4 Script Architecture</w:t>
      </w:r>
      <w:r>
        <w:rPr>
          <w:rFonts w:ascii="Times New Roman" w:hAnsi="Times New Roman" w:eastAsia="Times New Roman" w:cs="Times New Roman"/>
          <w:sz w:val="24"/>
          <w:szCs w:val="24"/>
        </w:rPr>
      </w:r>
    </w:p>
    <w:p>
      <w:pPr>
        <w:pStyle w:val="874"/>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Parameter agenda:</w:t>
      </w:r>
      <w:r>
        <w:rPr>
          <w:rFonts w:ascii="Times New Roman" w:hAnsi="Times New Roman" w:eastAsia="Times New Roman" w:cs="Times New Roman"/>
          <w:color w:val="000000"/>
          <w:sz w:val="24"/>
          <w:szCs w:val="24"/>
        </w:rPr>
        <w:t xml:space="preserve"> DataFrame with replica, profile, persona, θ, and an empty </w:t>
      </w:r>
      <w:r>
        <w:rPr>
          <w:rFonts w:ascii="Times New Roman" w:hAnsi="Times New Roman" w:eastAsia="Times New Roman" w:cs="Times New Roman"/>
          <w:color w:val="000000"/>
          <w:sz w:val="24"/>
          <w:szCs w:val="24"/>
        </w:rPr>
        <w:t xml:space="preserve">output</w:t>
      </w:r>
      <w:r>
        <w:rPr>
          <w:rFonts w:ascii="Times New Roman" w:hAnsi="Times New Roman" w:eastAsia="Times New Roman" w:cs="Times New Roman"/>
          <w:color w:val="000000"/>
          <w:sz w:val="24"/>
          <w:szCs w:val="24"/>
        </w:rPr>
        <w:t xml:space="preserve"> column.</w:t>
      </w:r>
      <w:r>
        <w:rPr>
          <w:rFonts w:ascii="Times New Roman" w:hAnsi="Times New Roman" w:eastAsia="Times New Roman" w:cs="Times New Roman"/>
          <w:sz w:val="24"/>
          <w:szCs w:val="24"/>
        </w:rPr>
      </w:r>
    </w:p>
    <w:p>
      <w:pPr>
        <w:pStyle w:val="874"/>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Prompt builder:</w:t>
      </w:r>
      <w:r>
        <w:rPr>
          <w:rFonts w:ascii="Times New Roman" w:hAnsi="Times New Roman" w:eastAsia="Times New Roman" w:cs="Times New Roman"/>
          <w:color w:val="000000"/>
          <w:sz w:val="24"/>
          <w:szCs w:val="24"/>
        </w:rPr>
        <w:t xml:space="preserve"> function </w:t>
      </w:r>
      <w:r>
        <w:rPr>
          <w:rFonts w:ascii="Times New Roman" w:hAnsi="Times New Roman" w:eastAsia="Times New Roman" w:cs="Times New Roman"/>
          <w:color w:val="000000"/>
          <w:sz w:val="24"/>
          <w:szCs w:val="24"/>
        </w:rPr>
        <w:t xml:space="preserve">build_prompt_full_q</w:t>
      </w:r>
      <w:r>
        <w:rPr>
          <w:rFonts w:ascii="Times New Roman" w:hAnsi="Times New Roman" w:eastAsia="Times New Roman" w:cs="Times New Roman"/>
          <w:color w:val="000000"/>
          <w:sz w:val="24"/>
          <w:szCs w:val="24"/>
        </w:rPr>
        <w:t xml:space="preserve"> embedding the entire questionnaire.</w:t>
      </w:r>
      <w:r>
        <w:rPr>
          <w:rFonts w:ascii="Times New Roman" w:hAnsi="Times New Roman" w:eastAsia="Times New Roman" w:cs="Times New Roman"/>
          <w:sz w:val="24"/>
          <w:szCs w:val="24"/>
        </w:rPr>
      </w:r>
    </w:p>
    <w:p>
      <w:pPr>
        <w:pStyle w:val="874"/>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Call engine:</w:t>
      </w:r>
      <w:r>
        <w:rPr>
          <w:rFonts w:ascii="Times New Roman" w:hAnsi="Times New Roman" w:eastAsia="Times New Roman" w:cs="Times New Roman"/>
          <w:color w:val="000000"/>
          <w:sz w:val="24"/>
          <w:szCs w:val="24"/>
        </w:rPr>
        <w:t xml:space="preserve"> iteration over the agenda, recording JSON responses, and error handling with exponential back‑off retries.</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5 Results</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5.1 Dimensionality</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Parallel analysis recommended retaining three factors. A bifactor model achieved CFI/TLI = 0.999, confirming a pronounced general factor.</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5.2 GRM Calibration</w:t>
      </w:r>
      <w:r>
        <w:rPr>
          <w:rFonts w:ascii="Times New Roman" w:hAnsi="Times New Roman" w:eastAsia="Times New Roman" w:cs="Times New Roman"/>
          <w:sz w:val="24"/>
          <w:szCs w:val="24"/>
        </w:rPr>
      </w:r>
    </w:p>
    <w:p>
      <w:pPr>
        <w:pStyle w:val="874"/>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Discrimination parameters $a$: 0.90–0.99.</w:t>
      </w:r>
      <w:r>
        <w:rPr>
          <w:rFonts w:ascii="Times New Roman" w:hAnsi="Times New Roman" w:eastAsia="Times New Roman" w:cs="Times New Roman"/>
          <w:sz w:val="24"/>
          <w:szCs w:val="24"/>
        </w:rPr>
      </w:r>
    </w:p>
    <w:p>
      <w:pPr>
        <w:pStyle w:val="874"/>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Threshold parameters $b$: ordered with no reversals.</w:t>
      </w:r>
      <w:r>
        <w:rPr>
          <w:rFonts w:ascii="Times New Roman" w:hAnsi="Times New Roman" w:eastAsia="Times New Roman" w:cs="Times New Roman"/>
          <w:sz w:val="24"/>
          <w:szCs w:val="24"/>
        </w:rPr>
      </w:r>
    </w:p>
    <w:p>
      <w:pPr>
        <w:pStyle w:val="874"/>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Item characteristic curves (ICCs): well‑separated Likert categories; items q6, q15, and q22 showed slight flattening.</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5.3 Test Information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Information peaks occurred at θ ≈ −2, +1, and +3, covering 95 % of the expected firm distribution. Standard error remained below 0.25 within this band.</w:t>
      </w:r>
      <w:r>
        <w:rPr>
          <w:rFonts w:ascii="Times New Roman" w:hAnsi="Times New Roman" w:eastAsia="Times New Roman" w:cs="Times New Roman"/>
          <w:sz w:val="24"/>
          <w:szCs w:val="24"/>
        </w:rPr>
      </w:r>
    </w:p>
    <w:p>
      <w:pPr>
        <w:pStyle w:val="85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5.4 Internal Consistency</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Cronbach’s α and McDonald’s ω ranged from 0.94 to 0.98. The minimal gap between α and ω indicates near tau‑equivalence.</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6 Discussion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The findings confirm that meta‑validation with GPT‑4‑1‑mini yields robust psychometric parameters. The strong general factor suggests that a global maturity score is informative, while dimensional scores serve as diagnostic supplements. Items with mild cro</w:t>
      </w:r>
      <w:r>
        <w:rPr>
          <w:rFonts w:ascii="Times New Roman" w:hAnsi="Times New Roman" w:eastAsia="Times New Roman" w:cs="Times New Roman"/>
          <w:color w:val="000000"/>
          <w:sz w:val="24"/>
          <w:szCs w:val="24"/>
        </w:rPr>
        <w:t xml:space="preserve">ss‑loadings should be monitored in human samples to confirm stability.</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7 Limitations</w:t>
      </w:r>
      <w:r>
        <w:rPr>
          <w:rFonts w:ascii="Times New Roman" w:hAnsi="Times New Roman" w:eastAsia="Times New Roman" w:cs="Times New Roman"/>
          <w:sz w:val="24"/>
          <w:szCs w:val="24"/>
        </w:rPr>
      </w:r>
    </w:p>
    <w:p>
      <w:pPr>
        <w:pStyle w:val="874"/>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Potential </w:t>
      </w:r>
      <w:r>
        <w:rPr>
          <w:rFonts w:ascii="Times New Roman" w:hAnsi="Times New Roman" w:eastAsia="Times New Roman" w:cs="Times New Roman"/>
          <w:b/>
          <w:color w:val="000000"/>
          <w:sz w:val="24"/>
          <w:szCs w:val="24"/>
        </w:rPr>
        <w:t xml:space="preserve">self‑bias</w:t>
      </w:r>
      <w:r>
        <w:rPr>
          <w:rFonts w:ascii="Times New Roman" w:hAnsi="Times New Roman" w:eastAsia="Times New Roman" w:cs="Times New Roman"/>
          <w:color w:val="000000"/>
          <w:sz w:val="24"/>
          <w:szCs w:val="24"/>
        </w:rPr>
        <w:t xml:space="preserve"> stemming from reliance on a single model.</w:t>
      </w:r>
      <w:r>
        <w:rPr>
          <w:rFonts w:ascii="Times New Roman" w:hAnsi="Times New Roman" w:eastAsia="Times New Roman" w:cs="Times New Roman"/>
          <w:sz w:val="24"/>
          <w:szCs w:val="24"/>
        </w:rPr>
      </w:r>
    </w:p>
    <w:p>
      <w:pPr>
        <w:pStyle w:val="874"/>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Full‑questionnaire prompts increase token costs and may constrain future context.</w:t>
      </w:r>
      <w:r>
        <w:rPr>
          <w:rFonts w:ascii="Times New Roman" w:hAnsi="Times New Roman" w:eastAsia="Times New Roman" w:cs="Times New Roman"/>
          <w:sz w:val="24"/>
          <w:szCs w:val="24"/>
        </w:rPr>
      </w:r>
    </w:p>
    <w:p>
      <w:pPr>
        <w:pStyle w:val="874"/>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Human validation is still pending at this stage.</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8 Recommendations</w:t>
      </w:r>
      <w:r>
        <w:rPr>
          <w:rFonts w:ascii="Times New Roman" w:hAnsi="Times New Roman" w:eastAsia="Times New Roman" w:cs="Times New Roman"/>
          <w:sz w:val="24"/>
          <w:szCs w:val="24"/>
        </w:rPr>
      </w:r>
    </w:p>
    <w:p>
      <w:pPr>
        <w:pStyle w:val="874"/>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Conduct a field pilot and recalibrate parameters with human data.</w:t>
      </w:r>
      <w:r>
        <w:rPr>
          <w:rFonts w:ascii="Times New Roman" w:hAnsi="Times New Roman" w:eastAsia="Times New Roman" w:cs="Times New Roman"/>
          <w:sz w:val="24"/>
          <w:szCs w:val="24"/>
        </w:rPr>
      </w:r>
    </w:p>
    <w:p>
      <w:pPr>
        <w:pStyle w:val="874"/>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Test measurement invariance across sectors and countries.</w:t>
      </w:r>
      <w:r>
        <w:rPr>
          <w:rFonts w:ascii="Times New Roman" w:hAnsi="Times New Roman" w:eastAsia="Times New Roman" w:cs="Times New Roman"/>
          <w:sz w:val="24"/>
          <w:szCs w:val="24"/>
        </w:rPr>
      </w:r>
    </w:p>
    <w:p>
      <w:pPr>
        <w:pStyle w:val="874"/>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Review items q13, q14, q18, q19, and q22 to reduce redundancy.</w:t>
      </w:r>
      <w:r>
        <w:rPr>
          <w:rFonts w:ascii="Times New Roman" w:hAnsi="Times New Roman" w:eastAsia="Times New Roman" w:cs="Times New Roman"/>
          <w:sz w:val="24"/>
          <w:szCs w:val="24"/>
        </w:rPr>
      </w:r>
    </w:p>
    <w:p>
      <w:pPr>
        <w:pStyle w:val="874"/>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Implement periodic stress‑tests with a smaller model to monitor variance collapse.</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9 Conclusion</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LLM‑based meta‑validation proved viable, efficient, and technically sound for the preliminary assessment of MMAB‑NCAS, facilitating refinement prior to real‑world deployment.</w:t>
      </w:r>
      <w:r>
        <w:rPr>
          <w:rFonts w:ascii="Times New Roman" w:hAnsi="Times New Roman" w:eastAsia="Times New Roman" w:cs="Times New Roman"/>
          <w:sz w:val="24"/>
          <w:szCs w:val="24"/>
        </w:rPr>
      </w:r>
    </w:p>
    <w:p>
      <w:pPr>
        <w:pStyle w:val="85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10 References (ABNT Format)</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ECCLES, R. G.; TAYLOR, A. The evolving role of chief sustainability officers. </w:t>
      </w:r>
      <w:r>
        <w:rPr>
          <w:rFonts w:ascii="Times New Roman" w:hAnsi="Times New Roman" w:eastAsia="Times New Roman" w:cs="Times New Roman"/>
          <w:i/>
          <w:color w:val="000000"/>
          <w:sz w:val="24"/>
          <w:szCs w:val="24"/>
        </w:rPr>
        <w:t xml:space="preserve">Harvard Business Review</w:t>
      </w:r>
      <w:r>
        <w:rPr>
          <w:rFonts w:ascii="Times New Roman" w:hAnsi="Times New Roman" w:eastAsia="Times New Roman" w:cs="Times New Roman"/>
          <w:color w:val="000000"/>
          <w:sz w:val="24"/>
          <w:szCs w:val="24"/>
        </w:rPr>
        <w:t xml:space="preserve">, Boston, v. 101, n. 4, p. 1‑9, 2023. MORRIS, T. P.; WHITE, I. R.; CROWTHER, M. J. Using simulation studies to evaluate statistical methods. arXiv:1712.03198, 2018. NOAUTHORS. Large language model psychometrics: a systematic review. arXiv:2505.08245, 2025.</w:t>
      </w:r>
      <w:r>
        <w:rPr>
          <w:rFonts w:ascii="Times New Roman" w:hAnsi="Times New Roman" w:eastAsia="Times New Roman" w:cs="Times New Roman"/>
          <w:color w:val="000000"/>
          <w:sz w:val="24"/>
          <w:szCs w:val="24"/>
        </w:rPr>
        <w:t xml:space="preserve"> LIU, Y.; BHANDARI, S.; PARDOS, Z. Leveraging LLM respondents for item evaluation: a psychometric analysis. </w:t>
      </w:r>
      <w:r>
        <w:rPr>
          <w:rFonts w:ascii="Times New Roman" w:hAnsi="Times New Roman" w:eastAsia="Times New Roman" w:cs="Times New Roman"/>
          <w:i/>
          <w:color w:val="000000"/>
          <w:sz w:val="24"/>
          <w:szCs w:val="24"/>
        </w:rPr>
        <w:t xml:space="preserve">British Journal of Educational Technology</w:t>
      </w:r>
      <w:r>
        <w:rPr>
          <w:rFonts w:ascii="Times New Roman" w:hAnsi="Times New Roman" w:eastAsia="Times New Roman" w:cs="Times New Roman"/>
          <w:color w:val="000000"/>
          <w:sz w:val="24"/>
          <w:szCs w:val="24"/>
        </w:rPr>
        <w:t xml:space="preserve">, 56(3), 2025.</w:t>
      </w:r>
      <w:r>
        <w:rPr>
          <w:rFonts w:ascii="Times New Roman" w:hAnsi="Times New Roman" w:eastAsia="Times New Roman" w:cs="Times New Roman"/>
          <w:sz w:val="24"/>
          <w:szCs w:val="24"/>
        </w:rPr>
      </w:r>
    </w:p>
    <w:p>
      <w:pPr>
        <w:pStyle w:val="908"/>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sectPr>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Liberation Sans">
    <w:panose1 w:val="020B0604020202020204"/>
  </w:font>
  <w:font w:name="Arial">
    <w:panose1 w:val="020B0604020202020204"/>
  </w:font>
  <w:font w:name="Noto Sans CJK SC Regular">
    <w:panose1 w:val="020B0500000000000000"/>
  </w:font>
  <w:font w:name="FreeSans">
    <w:panose1 w:val="05040102010807070707"/>
  </w:font>
  <w:font w:name="Liberation Serif">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ans CJK SC Regular" w:cs="FreeSans"/>
        <w:sz w:val="24"/>
        <w:szCs w:val="24"/>
        <w:lang w:val="en-GB"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w:basedOn w:val="72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Table Grid Light"/>
    <w:basedOn w:val="72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1"/>
    <w:basedOn w:val="72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2"/>
    <w:basedOn w:val="72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3"/>
    <w:basedOn w:val="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4"/>
    <w:basedOn w:val="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5"/>
    <w:basedOn w:val="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w:basedOn w:val="7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1"/>
    <w:basedOn w:val="7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2"/>
    <w:basedOn w:val="7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3"/>
    <w:basedOn w:val="7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4"/>
    <w:basedOn w:val="7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5"/>
    <w:basedOn w:val="7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6"/>
    <w:basedOn w:val="7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w:basedOn w:val="7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1"/>
    <w:basedOn w:val="7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2"/>
    <w:basedOn w:val="7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3"/>
    <w:basedOn w:val="7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4"/>
    <w:basedOn w:val="7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5"/>
    <w:basedOn w:val="7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6"/>
    <w:basedOn w:val="7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w:basedOn w:val="7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7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7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7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7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7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7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w:basedOn w:val="7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1"/>
    <w:basedOn w:val="7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2"/>
    <w:basedOn w:val="7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3"/>
    <w:basedOn w:val="7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4"/>
    <w:basedOn w:val="7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5"/>
    <w:basedOn w:val="7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6"/>
    <w:basedOn w:val="7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1"/>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2"/>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3"/>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4"/>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5"/>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6"/>
    <w:basedOn w:val="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w:basedOn w:val="7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5">
    <w:name w:val="Grid Table 6 Colorful - Accent 1"/>
    <w:basedOn w:val="7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6">
    <w:name w:val="Grid Table 6 Colorful - Accent 2"/>
    <w:basedOn w:val="7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7">
    <w:name w:val="Grid Table 6 Colorful - Accent 3"/>
    <w:basedOn w:val="7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8">
    <w:name w:val="Grid Table 6 Colorful - Accent 4"/>
    <w:basedOn w:val="7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9">
    <w:name w:val="Grid Table 6 Colorful - Accent 5"/>
    <w:basedOn w:val="7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6 Colorful - Accent 6"/>
    <w:basedOn w:val="7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7 Colorful"/>
    <w:basedOn w:val="7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1"/>
    <w:basedOn w:val="7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2"/>
    <w:basedOn w:val="7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3"/>
    <w:basedOn w:val="7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4"/>
    <w:basedOn w:val="7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5"/>
    <w:basedOn w:val="7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6"/>
    <w:basedOn w:val="7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1"/>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2"/>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3"/>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4"/>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5"/>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6"/>
    <w:basedOn w:val="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w:basedOn w:val="7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1"/>
    <w:basedOn w:val="7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2"/>
    <w:basedOn w:val="7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3"/>
    <w:basedOn w:val="7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4"/>
    <w:basedOn w:val="7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5"/>
    <w:basedOn w:val="7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6"/>
    <w:basedOn w:val="7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w:basedOn w:val="7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1"/>
    <w:basedOn w:val="7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2"/>
    <w:basedOn w:val="7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3"/>
    <w:basedOn w:val="7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4"/>
    <w:basedOn w:val="7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5"/>
    <w:basedOn w:val="7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6"/>
    <w:basedOn w:val="7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w:basedOn w:val="7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1"/>
    <w:basedOn w:val="7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2"/>
    <w:basedOn w:val="7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3"/>
    <w:basedOn w:val="7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4"/>
    <w:basedOn w:val="7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5"/>
    <w:basedOn w:val="7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6"/>
    <w:basedOn w:val="7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5 Dark"/>
    <w:basedOn w:val="7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1"/>
    <w:basedOn w:val="7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2"/>
    <w:basedOn w:val="7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3"/>
    <w:basedOn w:val="7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4"/>
    <w:basedOn w:val="7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5"/>
    <w:basedOn w:val="7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6"/>
    <w:basedOn w:val="7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6 Colorful"/>
    <w:basedOn w:val="7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1"/>
    <w:basedOn w:val="7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2"/>
    <w:basedOn w:val="7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3"/>
    <w:basedOn w:val="7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4"/>
    <w:basedOn w:val="7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5"/>
    <w:basedOn w:val="7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6"/>
    <w:basedOn w:val="7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7 Colorful"/>
    <w:basedOn w:val="7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1">
    <w:name w:val="List Table 7 Colorful - Accent 1"/>
    <w:basedOn w:val="7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2">
    <w:name w:val="List Table 7 Colorful - Accent 2"/>
    <w:basedOn w:val="7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23">
    <w:name w:val="List Table 7 Colorful - Accent 3"/>
    <w:basedOn w:val="7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24">
    <w:name w:val="List Table 7 Colorful - Accent 4"/>
    <w:basedOn w:val="7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25">
    <w:name w:val="List Table 7 Colorful - Accent 5"/>
    <w:basedOn w:val="7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26">
    <w:name w:val="List Table 7 Colorful - Accent 6"/>
    <w:basedOn w:val="7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27">
    <w:name w:val="Lined - Accent"/>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1"/>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2"/>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3"/>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4"/>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5"/>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6"/>
    <w:basedOn w:val="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w:basedOn w:val="7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1"/>
    <w:basedOn w:val="7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2"/>
    <w:basedOn w:val="7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3"/>
    <w:basedOn w:val="7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4"/>
    <w:basedOn w:val="7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5"/>
    <w:basedOn w:val="7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6"/>
    <w:basedOn w:val="7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w:basedOn w:val="7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1"/>
    <w:basedOn w:val="7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2"/>
    <w:basedOn w:val="7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3"/>
    <w:basedOn w:val="7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4"/>
    <w:basedOn w:val="7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5"/>
    <w:basedOn w:val="7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6"/>
    <w:basedOn w:val="7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Heading 1"/>
    <w:basedOn w:val="908"/>
    <w:next w:val="908"/>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9">
    <w:name w:val="Heading 2"/>
    <w:basedOn w:val="908"/>
    <w:next w:val="908"/>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0">
    <w:name w:val="Heading 3"/>
    <w:basedOn w:val="908"/>
    <w:next w:val="908"/>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1">
    <w:name w:val="Heading 4"/>
    <w:basedOn w:val="908"/>
    <w:next w:val="908"/>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2">
    <w:name w:val="Heading 5"/>
    <w:basedOn w:val="908"/>
    <w:next w:val="908"/>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3">
    <w:name w:val="Heading 6"/>
    <w:basedOn w:val="908"/>
    <w:next w:val="908"/>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4">
    <w:name w:val="Heading 7"/>
    <w:basedOn w:val="908"/>
    <w:next w:val="908"/>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5">
    <w:name w:val="Heading 8"/>
    <w:basedOn w:val="908"/>
    <w:next w:val="908"/>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6">
    <w:name w:val="Heading 9"/>
    <w:basedOn w:val="908"/>
    <w:next w:val="908"/>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7" w:default="1">
    <w:name w:val="Default Paragraph Font"/>
    <w:uiPriority w:val="1"/>
    <w:semiHidden/>
    <w:unhideWhenUsed/>
    <w:pPr>
      <w:pBdr/>
      <w:spacing/>
      <w:ind/>
    </w:pPr>
  </w:style>
  <w:style w:type="numbering" w:styleId="858" w:default="1">
    <w:name w:val="No List"/>
    <w:uiPriority w:val="99"/>
    <w:semiHidden/>
    <w:unhideWhenUsed/>
    <w:pPr>
      <w:pBdr/>
      <w:spacing/>
      <w:ind/>
    </w:pPr>
  </w:style>
  <w:style w:type="character" w:styleId="859">
    <w:name w:val="Heading 1 Char"/>
    <w:basedOn w:val="857"/>
    <w:link w:val="848"/>
    <w:uiPriority w:val="9"/>
    <w:pPr>
      <w:pBdr/>
      <w:spacing/>
      <w:ind/>
    </w:pPr>
    <w:rPr>
      <w:rFonts w:ascii="Arial" w:hAnsi="Arial" w:eastAsia="Arial" w:cs="Arial"/>
      <w:color w:val="0f4761" w:themeColor="accent1" w:themeShade="BF"/>
      <w:sz w:val="40"/>
      <w:szCs w:val="40"/>
    </w:rPr>
  </w:style>
  <w:style w:type="character" w:styleId="860">
    <w:name w:val="Heading 2 Char"/>
    <w:basedOn w:val="857"/>
    <w:link w:val="849"/>
    <w:uiPriority w:val="9"/>
    <w:pPr>
      <w:pBdr/>
      <w:spacing/>
      <w:ind/>
    </w:pPr>
    <w:rPr>
      <w:rFonts w:ascii="Arial" w:hAnsi="Arial" w:eastAsia="Arial" w:cs="Arial"/>
      <w:color w:val="0f4761" w:themeColor="accent1" w:themeShade="BF"/>
      <w:sz w:val="32"/>
      <w:szCs w:val="32"/>
    </w:rPr>
  </w:style>
  <w:style w:type="character" w:styleId="861">
    <w:name w:val="Heading 3 Char"/>
    <w:basedOn w:val="857"/>
    <w:link w:val="850"/>
    <w:uiPriority w:val="9"/>
    <w:pPr>
      <w:pBdr/>
      <w:spacing/>
      <w:ind/>
    </w:pPr>
    <w:rPr>
      <w:rFonts w:ascii="Arial" w:hAnsi="Arial" w:eastAsia="Arial" w:cs="Arial"/>
      <w:color w:val="0f4761" w:themeColor="accent1" w:themeShade="BF"/>
      <w:sz w:val="28"/>
      <w:szCs w:val="28"/>
    </w:rPr>
  </w:style>
  <w:style w:type="character" w:styleId="862">
    <w:name w:val="Heading 4 Char"/>
    <w:basedOn w:val="857"/>
    <w:link w:val="851"/>
    <w:uiPriority w:val="9"/>
    <w:pPr>
      <w:pBdr/>
      <w:spacing/>
      <w:ind/>
    </w:pPr>
    <w:rPr>
      <w:rFonts w:ascii="Arial" w:hAnsi="Arial" w:eastAsia="Arial" w:cs="Arial"/>
      <w:i/>
      <w:iCs/>
      <w:color w:val="0f4761" w:themeColor="accent1" w:themeShade="BF"/>
    </w:rPr>
  </w:style>
  <w:style w:type="character" w:styleId="863">
    <w:name w:val="Heading 5 Char"/>
    <w:basedOn w:val="857"/>
    <w:link w:val="852"/>
    <w:uiPriority w:val="9"/>
    <w:pPr>
      <w:pBdr/>
      <w:spacing/>
      <w:ind/>
    </w:pPr>
    <w:rPr>
      <w:rFonts w:ascii="Arial" w:hAnsi="Arial" w:eastAsia="Arial" w:cs="Arial"/>
      <w:color w:val="0f4761" w:themeColor="accent1" w:themeShade="BF"/>
    </w:rPr>
  </w:style>
  <w:style w:type="character" w:styleId="864">
    <w:name w:val="Heading 6 Char"/>
    <w:basedOn w:val="857"/>
    <w:link w:val="853"/>
    <w:uiPriority w:val="9"/>
    <w:pPr>
      <w:pBdr/>
      <w:spacing/>
      <w:ind/>
    </w:pPr>
    <w:rPr>
      <w:rFonts w:ascii="Arial" w:hAnsi="Arial" w:eastAsia="Arial" w:cs="Arial"/>
      <w:i/>
      <w:iCs/>
      <w:color w:val="595959" w:themeColor="text1" w:themeTint="A6"/>
    </w:rPr>
  </w:style>
  <w:style w:type="character" w:styleId="865">
    <w:name w:val="Heading 7 Char"/>
    <w:basedOn w:val="857"/>
    <w:link w:val="854"/>
    <w:uiPriority w:val="9"/>
    <w:pPr>
      <w:pBdr/>
      <w:spacing/>
      <w:ind/>
    </w:pPr>
    <w:rPr>
      <w:rFonts w:ascii="Arial" w:hAnsi="Arial" w:eastAsia="Arial" w:cs="Arial"/>
      <w:color w:val="595959" w:themeColor="text1" w:themeTint="A6"/>
    </w:rPr>
  </w:style>
  <w:style w:type="character" w:styleId="866">
    <w:name w:val="Heading 8 Char"/>
    <w:basedOn w:val="857"/>
    <w:link w:val="855"/>
    <w:uiPriority w:val="9"/>
    <w:pPr>
      <w:pBdr/>
      <w:spacing/>
      <w:ind/>
    </w:pPr>
    <w:rPr>
      <w:rFonts w:ascii="Arial" w:hAnsi="Arial" w:eastAsia="Arial" w:cs="Arial"/>
      <w:i/>
      <w:iCs/>
      <w:color w:val="272727" w:themeColor="text1" w:themeTint="D8"/>
    </w:rPr>
  </w:style>
  <w:style w:type="character" w:styleId="867">
    <w:name w:val="Heading 9 Char"/>
    <w:basedOn w:val="857"/>
    <w:link w:val="856"/>
    <w:uiPriority w:val="9"/>
    <w:pPr>
      <w:pBdr/>
      <w:spacing/>
      <w:ind/>
    </w:pPr>
    <w:rPr>
      <w:rFonts w:ascii="Arial" w:hAnsi="Arial" w:eastAsia="Arial" w:cs="Arial"/>
      <w:i/>
      <w:iCs/>
      <w:color w:val="272727" w:themeColor="text1" w:themeTint="D8"/>
    </w:rPr>
  </w:style>
  <w:style w:type="paragraph" w:styleId="868">
    <w:name w:val="Title"/>
    <w:basedOn w:val="908"/>
    <w:next w:val="908"/>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7"/>
    <w:link w:val="868"/>
    <w:uiPriority w:val="10"/>
    <w:pPr>
      <w:pBdr/>
      <w:spacing/>
      <w:ind/>
    </w:pPr>
    <w:rPr>
      <w:rFonts w:ascii="Arial" w:hAnsi="Arial" w:eastAsia="Arial" w:cs="Arial"/>
      <w:spacing w:val="-10"/>
      <w:sz w:val="56"/>
      <w:szCs w:val="56"/>
    </w:rPr>
  </w:style>
  <w:style w:type="paragraph" w:styleId="870">
    <w:name w:val="Subtitle"/>
    <w:basedOn w:val="908"/>
    <w:next w:val="908"/>
    <w:link w:val="871"/>
    <w:uiPriority w:val="11"/>
    <w:qFormat/>
    <w:pPr>
      <w:numPr>
        <w:ilvl w:val="1"/>
      </w:numPr>
      <w:pBdr/>
      <w:spacing/>
      <w:ind/>
    </w:pPr>
    <w:rPr>
      <w:color w:val="595959" w:themeColor="text1" w:themeTint="A6"/>
      <w:spacing w:val="15"/>
      <w:sz w:val="28"/>
      <w:szCs w:val="28"/>
    </w:rPr>
  </w:style>
  <w:style w:type="character" w:styleId="871">
    <w:name w:val="Subtitle Char"/>
    <w:basedOn w:val="857"/>
    <w:link w:val="870"/>
    <w:uiPriority w:val="11"/>
    <w:pPr>
      <w:pBdr/>
      <w:spacing/>
      <w:ind/>
    </w:pPr>
    <w:rPr>
      <w:color w:val="595959" w:themeColor="text1" w:themeTint="A6"/>
      <w:spacing w:val="15"/>
      <w:sz w:val="28"/>
      <w:szCs w:val="28"/>
    </w:rPr>
  </w:style>
  <w:style w:type="paragraph" w:styleId="872">
    <w:name w:val="Quote"/>
    <w:basedOn w:val="908"/>
    <w:next w:val="908"/>
    <w:link w:val="873"/>
    <w:uiPriority w:val="29"/>
    <w:qFormat/>
    <w:pPr>
      <w:pBdr/>
      <w:spacing w:before="160"/>
      <w:ind/>
      <w:jc w:val="center"/>
    </w:pPr>
    <w:rPr>
      <w:i/>
      <w:iCs/>
      <w:color w:val="404040" w:themeColor="text1" w:themeTint="BF"/>
    </w:rPr>
  </w:style>
  <w:style w:type="character" w:styleId="873">
    <w:name w:val="Quote Char"/>
    <w:basedOn w:val="857"/>
    <w:link w:val="872"/>
    <w:uiPriority w:val="29"/>
    <w:pPr>
      <w:pBdr/>
      <w:spacing/>
      <w:ind/>
    </w:pPr>
    <w:rPr>
      <w:i/>
      <w:iCs/>
      <w:color w:val="404040" w:themeColor="text1" w:themeTint="BF"/>
    </w:rPr>
  </w:style>
  <w:style w:type="paragraph" w:styleId="874">
    <w:name w:val="List Paragraph"/>
    <w:basedOn w:val="908"/>
    <w:uiPriority w:val="34"/>
    <w:qFormat/>
    <w:pPr>
      <w:pBdr/>
      <w:spacing/>
      <w:ind w:left="720"/>
      <w:contextualSpacing w:val="true"/>
    </w:pPr>
  </w:style>
  <w:style w:type="character" w:styleId="875">
    <w:name w:val="Intense Emphasis"/>
    <w:basedOn w:val="857"/>
    <w:uiPriority w:val="21"/>
    <w:qFormat/>
    <w:pPr>
      <w:pBdr/>
      <w:spacing/>
      <w:ind/>
    </w:pPr>
    <w:rPr>
      <w:i/>
      <w:iCs/>
      <w:color w:val="0f4761" w:themeColor="accent1" w:themeShade="BF"/>
    </w:rPr>
  </w:style>
  <w:style w:type="paragraph" w:styleId="876">
    <w:name w:val="Intense Quote"/>
    <w:basedOn w:val="908"/>
    <w:next w:val="908"/>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857"/>
    <w:link w:val="876"/>
    <w:uiPriority w:val="30"/>
    <w:pPr>
      <w:pBdr/>
      <w:spacing/>
      <w:ind/>
    </w:pPr>
    <w:rPr>
      <w:i/>
      <w:iCs/>
      <w:color w:val="0f4761" w:themeColor="accent1" w:themeShade="BF"/>
    </w:rPr>
  </w:style>
  <w:style w:type="character" w:styleId="878">
    <w:name w:val="Intense Reference"/>
    <w:basedOn w:val="857"/>
    <w:uiPriority w:val="32"/>
    <w:qFormat/>
    <w:pPr>
      <w:pBdr/>
      <w:spacing/>
      <w:ind/>
    </w:pPr>
    <w:rPr>
      <w:b/>
      <w:bCs/>
      <w:smallCaps/>
      <w:color w:val="0f4761" w:themeColor="accent1" w:themeShade="BF"/>
      <w:spacing w:val="5"/>
    </w:rPr>
  </w:style>
  <w:style w:type="paragraph" w:styleId="879">
    <w:name w:val="No Spacing"/>
    <w:basedOn w:val="908"/>
    <w:uiPriority w:val="1"/>
    <w:qFormat/>
    <w:pPr>
      <w:pBdr/>
      <w:spacing w:after="0" w:line="240" w:lineRule="auto"/>
      <w:ind/>
    </w:pPr>
  </w:style>
  <w:style w:type="character" w:styleId="880">
    <w:name w:val="Subtle Emphasis"/>
    <w:basedOn w:val="857"/>
    <w:uiPriority w:val="19"/>
    <w:qFormat/>
    <w:pPr>
      <w:pBdr/>
      <w:spacing/>
      <w:ind/>
    </w:pPr>
    <w:rPr>
      <w:i/>
      <w:iCs/>
      <w:color w:val="404040" w:themeColor="text1" w:themeTint="BF"/>
    </w:rPr>
  </w:style>
  <w:style w:type="character" w:styleId="881">
    <w:name w:val="Emphasis"/>
    <w:basedOn w:val="857"/>
    <w:uiPriority w:val="20"/>
    <w:qFormat/>
    <w:pPr>
      <w:pBdr/>
      <w:spacing/>
      <w:ind/>
    </w:pPr>
    <w:rPr>
      <w:i/>
      <w:iCs/>
    </w:rPr>
  </w:style>
  <w:style w:type="character" w:styleId="882">
    <w:name w:val="Strong"/>
    <w:basedOn w:val="857"/>
    <w:uiPriority w:val="22"/>
    <w:qFormat/>
    <w:pPr>
      <w:pBdr/>
      <w:spacing/>
      <w:ind/>
    </w:pPr>
    <w:rPr>
      <w:b/>
      <w:bCs/>
    </w:rPr>
  </w:style>
  <w:style w:type="character" w:styleId="883">
    <w:name w:val="Subtle Reference"/>
    <w:basedOn w:val="857"/>
    <w:uiPriority w:val="31"/>
    <w:qFormat/>
    <w:pPr>
      <w:pBdr/>
      <w:spacing/>
      <w:ind/>
    </w:pPr>
    <w:rPr>
      <w:smallCaps/>
      <w:color w:val="5a5a5a" w:themeColor="text1" w:themeTint="A5"/>
    </w:rPr>
  </w:style>
  <w:style w:type="character" w:styleId="884">
    <w:name w:val="Book Title"/>
    <w:basedOn w:val="857"/>
    <w:uiPriority w:val="33"/>
    <w:qFormat/>
    <w:pPr>
      <w:pBdr/>
      <w:spacing/>
      <w:ind/>
    </w:pPr>
    <w:rPr>
      <w:b/>
      <w:bCs/>
      <w:i/>
      <w:iCs/>
      <w:spacing w:val="5"/>
    </w:rPr>
  </w:style>
  <w:style w:type="paragraph" w:styleId="885">
    <w:name w:val="Header"/>
    <w:basedOn w:val="908"/>
    <w:link w:val="886"/>
    <w:uiPriority w:val="99"/>
    <w:unhideWhenUsed/>
    <w:pPr>
      <w:pBdr/>
      <w:tabs>
        <w:tab w:val="center" w:leader="none" w:pos="4844"/>
        <w:tab w:val="right" w:leader="none" w:pos="9689"/>
      </w:tabs>
      <w:spacing w:after="0" w:line="240" w:lineRule="auto"/>
      <w:ind/>
    </w:pPr>
  </w:style>
  <w:style w:type="character" w:styleId="886">
    <w:name w:val="Header Char"/>
    <w:basedOn w:val="857"/>
    <w:link w:val="885"/>
    <w:uiPriority w:val="99"/>
    <w:pPr>
      <w:pBdr/>
      <w:spacing/>
      <w:ind/>
    </w:pPr>
  </w:style>
  <w:style w:type="paragraph" w:styleId="887">
    <w:name w:val="Footer"/>
    <w:basedOn w:val="908"/>
    <w:link w:val="888"/>
    <w:uiPriority w:val="99"/>
    <w:unhideWhenUsed/>
    <w:pPr>
      <w:pBdr/>
      <w:tabs>
        <w:tab w:val="center" w:leader="none" w:pos="4844"/>
        <w:tab w:val="right" w:leader="none" w:pos="9689"/>
      </w:tabs>
      <w:spacing w:after="0" w:line="240" w:lineRule="auto"/>
      <w:ind/>
    </w:pPr>
  </w:style>
  <w:style w:type="character" w:styleId="888">
    <w:name w:val="Footer Char"/>
    <w:basedOn w:val="857"/>
    <w:link w:val="887"/>
    <w:uiPriority w:val="99"/>
    <w:pPr>
      <w:pBdr/>
      <w:spacing/>
      <w:ind/>
    </w:pPr>
  </w:style>
  <w:style w:type="paragraph" w:styleId="889">
    <w:name w:val="footnote text"/>
    <w:basedOn w:val="908"/>
    <w:link w:val="890"/>
    <w:uiPriority w:val="99"/>
    <w:semiHidden/>
    <w:unhideWhenUsed/>
    <w:pPr>
      <w:pBdr/>
      <w:spacing w:after="0" w:line="240" w:lineRule="auto"/>
      <w:ind/>
    </w:pPr>
    <w:rPr>
      <w:sz w:val="20"/>
      <w:szCs w:val="20"/>
    </w:rPr>
  </w:style>
  <w:style w:type="character" w:styleId="890">
    <w:name w:val="Footnote Text Char"/>
    <w:basedOn w:val="857"/>
    <w:link w:val="889"/>
    <w:uiPriority w:val="99"/>
    <w:semiHidden/>
    <w:pPr>
      <w:pBdr/>
      <w:spacing/>
      <w:ind/>
    </w:pPr>
    <w:rPr>
      <w:sz w:val="20"/>
      <w:szCs w:val="20"/>
    </w:rPr>
  </w:style>
  <w:style w:type="character" w:styleId="891">
    <w:name w:val="footnote reference"/>
    <w:basedOn w:val="857"/>
    <w:uiPriority w:val="99"/>
    <w:semiHidden/>
    <w:unhideWhenUsed/>
    <w:pPr>
      <w:pBdr/>
      <w:spacing/>
      <w:ind/>
    </w:pPr>
    <w:rPr>
      <w:vertAlign w:val="superscript"/>
    </w:rPr>
  </w:style>
  <w:style w:type="paragraph" w:styleId="892">
    <w:name w:val="endnote text"/>
    <w:basedOn w:val="908"/>
    <w:link w:val="893"/>
    <w:uiPriority w:val="99"/>
    <w:semiHidden/>
    <w:unhideWhenUsed/>
    <w:pPr>
      <w:pBdr/>
      <w:spacing w:after="0" w:line="240" w:lineRule="auto"/>
      <w:ind/>
    </w:pPr>
    <w:rPr>
      <w:sz w:val="20"/>
      <w:szCs w:val="20"/>
    </w:rPr>
  </w:style>
  <w:style w:type="character" w:styleId="893">
    <w:name w:val="Endnote Text Char"/>
    <w:basedOn w:val="857"/>
    <w:link w:val="892"/>
    <w:uiPriority w:val="99"/>
    <w:semiHidden/>
    <w:pPr>
      <w:pBdr/>
      <w:spacing/>
      <w:ind/>
    </w:pPr>
    <w:rPr>
      <w:sz w:val="20"/>
      <w:szCs w:val="20"/>
    </w:rPr>
  </w:style>
  <w:style w:type="character" w:styleId="894">
    <w:name w:val="endnote reference"/>
    <w:basedOn w:val="857"/>
    <w:uiPriority w:val="99"/>
    <w:semiHidden/>
    <w:unhideWhenUsed/>
    <w:pPr>
      <w:pBdr/>
      <w:spacing/>
      <w:ind/>
    </w:pPr>
    <w:rPr>
      <w:vertAlign w:val="superscript"/>
    </w:rPr>
  </w:style>
  <w:style w:type="character" w:styleId="895">
    <w:name w:val="Hyperlink"/>
    <w:basedOn w:val="857"/>
    <w:uiPriority w:val="99"/>
    <w:unhideWhenUsed/>
    <w:pPr>
      <w:pBdr/>
      <w:spacing/>
      <w:ind/>
    </w:pPr>
    <w:rPr>
      <w:color w:val="0563c1" w:themeColor="hyperlink"/>
      <w:u w:val="single"/>
    </w:rPr>
  </w:style>
  <w:style w:type="character" w:styleId="896">
    <w:name w:val="FollowedHyperlink"/>
    <w:basedOn w:val="857"/>
    <w:uiPriority w:val="99"/>
    <w:semiHidden/>
    <w:unhideWhenUsed/>
    <w:pPr>
      <w:pBdr/>
      <w:spacing/>
      <w:ind/>
    </w:pPr>
    <w:rPr>
      <w:color w:val="954f72" w:themeColor="followedHyperlink"/>
      <w:u w:val="single"/>
    </w:rPr>
  </w:style>
  <w:style w:type="paragraph" w:styleId="897">
    <w:name w:val="toc 1"/>
    <w:basedOn w:val="908"/>
    <w:next w:val="908"/>
    <w:uiPriority w:val="39"/>
    <w:unhideWhenUsed/>
    <w:pPr>
      <w:pBdr/>
      <w:spacing w:after="100"/>
      <w:ind/>
    </w:pPr>
  </w:style>
  <w:style w:type="paragraph" w:styleId="898">
    <w:name w:val="toc 2"/>
    <w:basedOn w:val="908"/>
    <w:next w:val="908"/>
    <w:uiPriority w:val="39"/>
    <w:unhideWhenUsed/>
    <w:pPr>
      <w:pBdr/>
      <w:spacing w:after="100"/>
      <w:ind w:left="220"/>
    </w:pPr>
  </w:style>
  <w:style w:type="paragraph" w:styleId="899">
    <w:name w:val="toc 3"/>
    <w:basedOn w:val="908"/>
    <w:next w:val="908"/>
    <w:uiPriority w:val="39"/>
    <w:unhideWhenUsed/>
    <w:pPr>
      <w:pBdr/>
      <w:spacing w:after="100"/>
      <w:ind w:left="440"/>
    </w:pPr>
  </w:style>
  <w:style w:type="paragraph" w:styleId="900">
    <w:name w:val="toc 4"/>
    <w:basedOn w:val="908"/>
    <w:next w:val="908"/>
    <w:uiPriority w:val="39"/>
    <w:unhideWhenUsed/>
    <w:pPr>
      <w:pBdr/>
      <w:spacing w:after="100"/>
      <w:ind w:left="660"/>
    </w:pPr>
  </w:style>
  <w:style w:type="paragraph" w:styleId="901">
    <w:name w:val="toc 5"/>
    <w:basedOn w:val="908"/>
    <w:next w:val="908"/>
    <w:uiPriority w:val="39"/>
    <w:unhideWhenUsed/>
    <w:pPr>
      <w:pBdr/>
      <w:spacing w:after="100"/>
      <w:ind w:left="880"/>
    </w:pPr>
  </w:style>
  <w:style w:type="paragraph" w:styleId="902">
    <w:name w:val="toc 6"/>
    <w:basedOn w:val="908"/>
    <w:next w:val="908"/>
    <w:uiPriority w:val="39"/>
    <w:unhideWhenUsed/>
    <w:pPr>
      <w:pBdr/>
      <w:spacing w:after="100"/>
      <w:ind w:left="1100"/>
    </w:pPr>
  </w:style>
  <w:style w:type="paragraph" w:styleId="903">
    <w:name w:val="toc 7"/>
    <w:basedOn w:val="908"/>
    <w:next w:val="908"/>
    <w:uiPriority w:val="39"/>
    <w:unhideWhenUsed/>
    <w:pPr>
      <w:pBdr/>
      <w:spacing w:after="100"/>
      <w:ind w:left="1320"/>
    </w:pPr>
  </w:style>
  <w:style w:type="paragraph" w:styleId="904">
    <w:name w:val="toc 8"/>
    <w:basedOn w:val="908"/>
    <w:next w:val="908"/>
    <w:uiPriority w:val="39"/>
    <w:unhideWhenUsed/>
    <w:pPr>
      <w:pBdr/>
      <w:spacing w:after="100"/>
      <w:ind w:left="1540"/>
    </w:pPr>
  </w:style>
  <w:style w:type="paragraph" w:styleId="905">
    <w:name w:val="toc 9"/>
    <w:basedOn w:val="908"/>
    <w:next w:val="908"/>
    <w:uiPriority w:val="39"/>
    <w:unhideWhenUsed/>
    <w:pPr>
      <w:pBdr/>
      <w:spacing w:after="100"/>
      <w:ind w:left="1760"/>
    </w:pPr>
  </w:style>
  <w:style w:type="paragraph" w:styleId="906">
    <w:name w:val="TOC Heading"/>
    <w:uiPriority w:val="39"/>
    <w:unhideWhenUsed/>
    <w:pPr>
      <w:pBdr/>
      <w:spacing/>
      <w:ind/>
    </w:pPr>
  </w:style>
  <w:style w:type="paragraph" w:styleId="907">
    <w:name w:val="table of figures"/>
    <w:basedOn w:val="908"/>
    <w:next w:val="908"/>
    <w:uiPriority w:val="99"/>
    <w:unhideWhenUsed/>
    <w:pPr>
      <w:pBdr/>
      <w:spacing w:after="0" w:afterAutospacing="0"/>
      <w:ind/>
    </w:pPr>
  </w:style>
  <w:style w:type="paragraph" w:styleId="908" w:default="1">
    <w:name w:val="Normal"/>
    <w:qFormat/>
    <w:pPr>
      <w:widowControl w:val="true"/>
      <w:pBdr/>
      <w:spacing/>
      <w:ind/>
    </w:pPr>
    <w:rPr>
      <w:rFonts w:ascii="Liberation Serif" w:hAnsi="Liberation Serif" w:eastAsia="Noto Sans CJK SC Regular" w:cs="FreeSans"/>
      <w:color w:val="auto"/>
      <w:sz w:val="24"/>
      <w:szCs w:val="24"/>
      <w:lang w:val="en-GB" w:eastAsia="zh-CN" w:bidi="hi-IN"/>
    </w:rPr>
  </w:style>
  <w:style w:type="paragraph" w:styleId="909">
    <w:name w:val="Heading"/>
    <w:basedOn w:val="908"/>
    <w:next w:val="910"/>
    <w:qFormat/>
    <w:pPr>
      <w:keepNext w:val="true"/>
      <w:pBdr/>
      <w:spacing w:after="120" w:before="240"/>
      <w:ind/>
    </w:pPr>
    <w:rPr>
      <w:rFonts w:ascii="Liberation Sans" w:hAnsi="Liberation Sans" w:eastAsia="Noto Sans CJK SC Regular" w:cs="FreeSans"/>
      <w:sz w:val="28"/>
      <w:szCs w:val="28"/>
    </w:rPr>
  </w:style>
  <w:style w:type="paragraph" w:styleId="910">
    <w:name w:val="Body Text"/>
    <w:basedOn w:val="908"/>
    <w:pPr>
      <w:pBdr/>
      <w:spacing w:after="140" w:before="0" w:line="288" w:lineRule="auto"/>
      <w:ind/>
    </w:pPr>
  </w:style>
  <w:style w:type="paragraph" w:styleId="911">
    <w:name w:val="List"/>
    <w:basedOn w:val="910"/>
    <w:pPr>
      <w:pBdr/>
      <w:spacing/>
      <w:ind/>
    </w:pPr>
    <w:rPr>
      <w:rFonts w:cs="FreeSans"/>
    </w:rPr>
  </w:style>
  <w:style w:type="paragraph" w:styleId="912">
    <w:name w:val="Caption"/>
    <w:basedOn w:val="908"/>
    <w:qFormat/>
    <w:pPr>
      <w:suppressLineNumbers w:val="true"/>
      <w:pBdr/>
      <w:spacing w:after="120" w:before="120"/>
      <w:ind/>
    </w:pPr>
    <w:rPr>
      <w:rFonts w:cs="FreeSans"/>
      <w:i/>
      <w:iCs/>
      <w:sz w:val="24"/>
      <w:szCs w:val="24"/>
    </w:rPr>
  </w:style>
  <w:style w:type="paragraph" w:styleId="913">
    <w:name w:val="Index"/>
    <w:basedOn w:val="908"/>
    <w:qFormat/>
    <w:pPr>
      <w:suppressLineNumbers w:val="true"/>
      <w:pBdr/>
      <w:spacing/>
      <w:ind/>
    </w:pPr>
    <w:rPr>
      <w:rFonts w:cs="FreeSan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ONLYOFFICE/8.3.3.21</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en-GB</dc:language>
  <cp:revision>3</cp:revision>
  <dcterms:created xsi:type="dcterms:W3CDTF">2017-07-29T20:48:12Z</dcterms:created>
  <dcterms:modified xsi:type="dcterms:W3CDTF">2025-06-16T20:28:07Z</dcterms:modified>
</cp:coreProperties>
</file>