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0"/>
        <w:contextualSpacing w:val="0"/>
        <w:jc w:val="center"/>
      </w:pPr>
      <w:r w:rsidDel="00000000" w:rsidR="00000000" w:rsidRPr="00000000">
        <w:rPr>
          <w:b w:val="1"/>
          <w:vertAlign w:val="baseline"/>
          <w:rtl w:val="0"/>
        </w:rPr>
        <w:t xml:space="preserve">PCCO / OIF Short Term Missions Support Raising Guidelines</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vertAlign w:val="baseline"/>
          <w:rtl w:val="0"/>
        </w:rPr>
        <w:t xml:space="preserve">1.  The candidate makes the request for church support of STM trip through PCCO Mission Committee.  The candidate must be a born again Christian, active member of the church who attends and is committed to the cell group and PCCO/OIF worship service regularly.</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vertAlign w:val="baseline"/>
          <w:rtl w:val="0"/>
        </w:rPr>
        <w:t xml:space="preserve">2.  The Mission Committee will then interview the candidate and decide if the candidate and STM trip is worthy of church support.  The Mission Committee will then submit to the council for final approval of the candidate and STM trip.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vertAlign w:val="baseline"/>
          <w:rtl w:val="0"/>
        </w:rPr>
        <w:t xml:space="preserve">3.  Once approved:</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vertAlign w:val="baseline"/>
          <w:rtl w:val="0"/>
        </w:rPr>
        <w:t xml:space="preserve">a.  The candidate is allowed to share in the Mandarin congregation, cell group, and/or OIF congregation in regards to the STM trip.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vertAlign w:val="baseline"/>
          <w:rtl w:val="0"/>
        </w:rPr>
        <w:t xml:space="preserve">b.  For STMs sponsored by organizations outside of the church such as IVCF, Campus Crusade, Medical Missions, etc, PCCO WILL NOT act as a pass through for the candidate and STM trip.  All supports from church members will go directly to the organization hosting the STM.</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vertAlign w:val="baseline"/>
          <w:rtl w:val="0"/>
        </w:rPr>
        <w:t xml:space="preserve">c.  The Mission Committee could choose to support candidate if deemed necessary and if there is a need.  The Mission Committee will present the case and give suggestion of amount of support for the Council’s approval.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vertAlign w:val="baseline"/>
          <w:rtl w:val="0"/>
        </w:rPr>
        <w:t xml:space="preserve">4.  If STM trip is sponsored by PCCO/OIF:</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vertAlign w:val="baseline"/>
          <w:rtl w:val="0"/>
        </w:rPr>
        <w:t xml:space="preserve">a.  The candidate is allowed to share in the Mandarin congregation, cell group, and/or OIF congregation in regards to the STM trip.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vertAlign w:val="baseline"/>
          <w:rtl w:val="0"/>
        </w:rPr>
        <w:t xml:space="preserve">b.  The church will act as a pass through for the candidate and team for the STM trip.  All supports from church members and outside of the church will go directly into the STM account (Accts 3000) under Mission Department.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vertAlign w:val="baseline"/>
          <w:rtl w:val="0"/>
        </w:rPr>
        <w:t xml:space="preserve"> </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