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8F2" w:rsidRPr="005348F2" w:rsidRDefault="005348F2" w:rsidP="005348F2">
      <w:pPr>
        <w:overflowPunct w:val="0"/>
        <w:autoSpaceDE w:val="0"/>
        <w:autoSpaceDN w:val="0"/>
        <w:adjustRightInd w:val="0"/>
        <w:spacing w:before="240" w:after="60" w:line="240" w:lineRule="auto"/>
        <w:jc w:val="center"/>
        <w:textAlignment w:val="baseline"/>
        <w:outlineLvl w:val="0"/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</w:pPr>
      <w:r w:rsidRPr="005348F2"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  <w:t>COMPETENCY assessment – ca / specimen reception /REFERRALS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2770"/>
        <w:gridCol w:w="1624"/>
        <w:gridCol w:w="1494"/>
        <w:gridCol w:w="3290"/>
        <w:gridCol w:w="679"/>
        <w:gridCol w:w="1167"/>
      </w:tblGrid>
      <w:tr w:rsidR="005348F2" w:rsidRPr="005348F2" w:rsidTr="0041367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Description:</w:t>
            </w:r>
          </w:p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The participant will demonstrate the correct combination of knowledge, skills and attitude in the Referral of Specimens from Biochemistry to the Senior Medical Scientist or appointee thereof during a competency assessment, using an approved competency method (see below).</w:t>
            </w:r>
          </w:p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348F2" w:rsidRPr="005348F2" w:rsidTr="0041367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Objectives:</w:t>
            </w:r>
          </w:p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 The Senior Medical Scientist or appointee thereof will deem the participant competent to perform.</w:t>
            </w:r>
          </w:p>
          <w:p w:rsidR="005348F2" w:rsidRPr="005348F2" w:rsidRDefault="005348F2" w:rsidP="005348F2">
            <w:pPr>
              <w:numPr>
                <w:ilvl w:val="0"/>
                <w:numId w:val="1"/>
              </w:num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Pre-analytical processing of samples for referral (with use of Biotrak where appropriate)</w:t>
            </w:r>
          </w:p>
          <w:p w:rsidR="005348F2" w:rsidRPr="005348F2" w:rsidRDefault="005348F2" w:rsidP="005348F2">
            <w:pPr>
              <w:numPr>
                <w:ilvl w:val="0"/>
                <w:numId w:val="1"/>
              </w:num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Entry of returned reports from referral laboratories where appropriate</w:t>
            </w:r>
          </w:p>
          <w:p w:rsidR="005348F2" w:rsidRPr="005348F2" w:rsidRDefault="005348F2" w:rsidP="005348F2">
            <w:pPr>
              <w:spacing w:after="0" w:line="240" w:lineRule="auto"/>
              <w:ind w:left="360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348F2" w:rsidRPr="005348F2" w:rsidTr="0041367F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624" w:type="dxa"/>
          </w:tcPr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494" w:type="dxa"/>
          </w:tcPr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290" w:type="dxa"/>
          </w:tcPr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679" w:type="dxa"/>
          </w:tcPr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167" w:type="dxa"/>
          </w:tcPr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5348F2" w:rsidRPr="005348F2" w:rsidTr="0041367F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Scheduled Date:</w:t>
            </w:r>
          </w:p>
        </w:tc>
        <w:tc>
          <w:tcPr>
            <w:tcW w:w="1624" w:type="dxa"/>
            <w:tcBorders>
              <w:bottom w:val="dashed" w:sz="4" w:space="0" w:color="auto"/>
            </w:tcBorders>
          </w:tcPr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18/08/2023</w:t>
            </w:r>
          </w:p>
        </w:tc>
        <w:tc>
          <w:tcPr>
            <w:tcW w:w="1494" w:type="dxa"/>
          </w:tcPr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290" w:type="dxa"/>
          </w:tcPr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Completed Date:</w:t>
            </w:r>
          </w:p>
        </w:tc>
        <w:tc>
          <w:tcPr>
            <w:tcW w:w="1846" w:type="dxa"/>
            <w:gridSpan w:val="2"/>
            <w:tcBorders>
              <w:bottom w:val="dashed" w:sz="4" w:space="0" w:color="auto"/>
            </w:tcBorders>
          </w:tcPr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</w:tbl>
    <w:p w:rsidR="005348F2" w:rsidRPr="005348F2" w:rsidRDefault="005348F2" w:rsidP="005348F2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tbl>
      <w:tblPr>
        <w:tblW w:w="11024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92"/>
        <w:gridCol w:w="3328"/>
        <w:gridCol w:w="2262"/>
        <w:gridCol w:w="2080"/>
        <w:gridCol w:w="1300"/>
        <w:gridCol w:w="962"/>
      </w:tblGrid>
      <w:tr w:rsidR="005348F2" w:rsidRPr="005348F2" w:rsidTr="0041367F">
        <w:tblPrEx>
          <w:tblCellMar>
            <w:top w:w="0" w:type="dxa"/>
            <w:bottom w:w="0" w:type="dxa"/>
          </w:tblCellMar>
        </w:tblPrEx>
        <w:trPr>
          <w:cantSplit/>
          <w:trHeight w:val="612"/>
          <w:tblHeader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right w:val="double" w:sz="4" w:space="0" w:color="auto"/>
            </w:tcBorders>
          </w:tcPr>
          <w:p w:rsidR="005348F2" w:rsidRPr="005348F2" w:rsidRDefault="005348F2" w:rsidP="005348F2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Comp*</w:t>
            </w:r>
          </w:p>
          <w:p w:rsidR="005348F2" w:rsidRPr="005348F2" w:rsidRDefault="005348F2" w:rsidP="005348F2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Method</w:t>
            </w:r>
          </w:p>
        </w:tc>
        <w:tc>
          <w:tcPr>
            <w:tcW w:w="3328" w:type="dxa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5348F2" w:rsidRPr="005348F2" w:rsidRDefault="005348F2" w:rsidP="005348F2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 xml:space="preserve">Reference Material 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48F2" w:rsidRPr="005348F2" w:rsidRDefault="005348F2" w:rsidP="005348F2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Employee </w:t>
            </w:r>
          </w:p>
          <w:p w:rsidR="005348F2" w:rsidRPr="005348F2" w:rsidRDefault="005348F2" w:rsidP="005348F2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48F2" w:rsidRPr="005348F2" w:rsidRDefault="005348F2" w:rsidP="005348F2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Reviewer </w:t>
            </w:r>
          </w:p>
          <w:p w:rsidR="005348F2" w:rsidRPr="005348F2" w:rsidRDefault="005348F2" w:rsidP="005348F2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48F2" w:rsidRPr="005348F2" w:rsidRDefault="005348F2" w:rsidP="005348F2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Retraining </w:t>
            </w:r>
          </w:p>
          <w:p w:rsidR="005348F2" w:rsidRPr="005348F2" w:rsidRDefault="005348F2" w:rsidP="005348F2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48F2" w:rsidRPr="005348F2" w:rsidRDefault="005348F2" w:rsidP="005348F2">
            <w:pPr>
              <w:spacing w:before="6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Date</w:t>
            </w:r>
          </w:p>
        </w:tc>
      </w:tr>
      <w:tr w:rsidR="005348F2" w:rsidRPr="005348F2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+US</w:t>
            </w:r>
          </w:p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WA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  <w:r w:rsidRPr="005348F2">
              <w:rPr>
                <w:rFonts w:ascii="Verdana" w:eastAsia="Times" w:hAnsi="Verdana" w:cs="Arial"/>
                <w:sz w:val="20"/>
                <w:szCs w:val="20"/>
                <w:lang w:val="en-US"/>
              </w:rPr>
              <w:t xml:space="preserve">A </w:t>
            </w:r>
          </w:p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b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F2" w:rsidRPr="005348F2" w:rsidRDefault="005348F2" w:rsidP="005348F2">
            <w:pPr>
              <w:spacing w:before="40" w:after="0" w:line="240" w:lineRule="auto"/>
              <w:rPr>
                <w:rFonts w:ascii="L Frutiger Light." w:eastAsia="Times" w:hAnsi="L Frutiger Light." w:cs="Times New Roman"/>
                <w:szCs w:val="20"/>
                <w:lang w:val="en-US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</w:tbl>
    <w:p w:rsidR="005348F2" w:rsidRPr="005348F2" w:rsidRDefault="005348F2" w:rsidP="005348F2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958"/>
        <w:gridCol w:w="5528"/>
        <w:gridCol w:w="284"/>
        <w:gridCol w:w="709"/>
        <w:gridCol w:w="3403"/>
      </w:tblGrid>
      <w:tr w:rsidR="005348F2" w:rsidRPr="005348F2" w:rsidTr="0041367F">
        <w:tblPrEx>
          <w:tblCellMar>
            <w:top w:w="0" w:type="dxa"/>
            <w:bottom w:w="0" w:type="dxa"/>
          </w:tblCellMar>
        </w:tblPrEx>
        <w:trPr>
          <w:cantSplit/>
          <w:trHeight w:val="265"/>
        </w:trPr>
        <w:tc>
          <w:tcPr>
            <w:tcW w:w="6706" w:type="dxa"/>
            <w:gridSpan w:val="3"/>
          </w:tcPr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*</w:t>
            </w:r>
            <w:r w:rsidRPr="005348F2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Competency Method:</w:t>
            </w:r>
          </w:p>
        </w:tc>
        <w:tc>
          <w:tcPr>
            <w:tcW w:w="284" w:type="dxa"/>
          </w:tcPr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4112" w:type="dxa"/>
            <w:gridSpan w:val="2"/>
          </w:tcPr>
          <w:p w:rsidR="005348F2" w:rsidRPr="005348F2" w:rsidRDefault="005348F2" w:rsidP="005348F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5348F2" w:rsidRPr="005348F2" w:rsidTr="0041367F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220" w:type="dxa"/>
          </w:tcPr>
          <w:p w:rsidR="005348F2" w:rsidRPr="005348F2" w:rsidRDefault="005348F2" w:rsidP="005348F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58" w:type="dxa"/>
          </w:tcPr>
          <w:p w:rsidR="005348F2" w:rsidRPr="005348F2" w:rsidRDefault="005348F2" w:rsidP="005348F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  <w:p w:rsidR="005348F2" w:rsidRPr="005348F2" w:rsidRDefault="005348F2" w:rsidP="005348F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DOEM</w:t>
            </w:r>
          </w:p>
          <w:p w:rsidR="005348F2" w:rsidRPr="005348F2" w:rsidRDefault="005348F2" w:rsidP="005348F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DORR</w:t>
            </w:r>
          </w:p>
          <w:p w:rsidR="005348F2" w:rsidRPr="005348F2" w:rsidRDefault="005348F2" w:rsidP="005348F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RR</w:t>
            </w:r>
          </w:p>
          <w:p w:rsidR="005348F2" w:rsidRPr="005348F2" w:rsidRDefault="005348F2" w:rsidP="005348F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PES</w:t>
            </w:r>
          </w:p>
        </w:tc>
        <w:tc>
          <w:tcPr>
            <w:tcW w:w="5528" w:type="dxa"/>
          </w:tcPr>
          <w:p w:rsidR="005348F2" w:rsidRPr="005348F2" w:rsidRDefault="005348F2" w:rsidP="005348F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Work Processes /Procedures</w:t>
            </w:r>
          </w:p>
          <w:p w:rsidR="005348F2" w:rsidRPr="005348F2" w:rsidRDefault="005348F2" w:rsidP="005348F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Equipment Maintenance</w:t>
            </w:r>
          </w:p>
          <w:p w:rsidR="005348F2" w:rsidRPr="005348F2" w:rsidRDefault="005348F2" w:rsidP="005348F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Reporting of Results</w:t>
            </w:r>
          </w:p>
          <w:p w:rsidR="005348F2" w:rsidRPr="005348F2" w:rsidRDefault="005348F2" w:rsidP="005348F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Record Review</w:t>
            </w:r>
          </w:p>
          <w:p w:rsidR="005348F2" w:rsidRPr="005348F2" w:rsidRDefault="005348F2" w:rsidP="005348F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Previously Examined Samples</w:t>
            </w:r>
          </w:p>
        </w:tc>
        <w:tc>
          <w:tcPr>
            <w:tcW w:w="284" w:type="dxa"/>
          </w:tcPr>
          <w:p w:rsidR="005348F2" w:rsidRPr="005348F2" w:rsidRDefault="005348F2" w:rsidP="005348F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709" w:type="dxa"/>
          </w:tcPr>
          <w:p w:rsidR="005348F2" w:rsidRPr="005348F2" w:rsidRDefault="005348F2" w:rsidP="005348F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EQA</w:t>
            </w:r>
          </w:p>
          <w:p w:rsidR="005348F2" w:rsidRPr="005348F2" w:rsidRDefault="005348F2" w:rsidP="005348F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WA</w:t>
            </w:r>
          </w:p>
          <w:p w:rsidR="005348F2" w:rsidRPr="005348F2" w:rsidRDefault="005348F2" w:rsidP="005348F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US</w:t>
            </w:r>
          </w:p>
          <w:p w:rsidR="005348F2" w:rsidRPr="005348F2" w:rsidRDefault="005348F2" w:rsidP="005348F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SS</w:t>
            </w:r>
          </w:p>
        </w:tc>
        <w:tc>
          <w:tcPr>
            <w:tcW w:w="3403" w:type="dxa"/>
          </w:tcPr>
          <w:p w:rsidR="005348F2" w:rsidRPr="005348F2" w:rsidRDefault="005348F2" w:rsidP="005348F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External Quality Assessment</w:t>
            </w:r>
          </w:p>
          <w:p w:rsidR="005348F2" w:rsidRPr="005348F2" w:rsidRDefault="005348F2" w:rsidP="005348F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Written Assessment</w:t>
            </w:r>
          </w:p>
          <w:p w:rsidR="005348F2" w:rsidRPr="005348F2" w:rsidRDefault="005348F2" w:rsidP="005348F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Unknown Sample</w:t>
            </w:r>
          </w:p>
          <w:p w:rsidR="005348F2" w:rsidRPr="005348F2" w:rsidRDefault="005348F2" w:rsidP="005348F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348F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Split Samples</w:t>
            </w:r>
          </w:p>
        </w:tc>
      </w:tr>
    </w:tbl>
    <w:p w:rsidR="005348F2" w:rsidRPr="005348F2" w:rsidRDefault="005348F2" w:rsidP="005348F2">
      <w:pPr>
        <w:spacing w:after="0" w:line="240" w:lineRule="auto"/>
        <w:rPr>
          <w:rFonts w:ascii="L Frutiger Light." w:eastAsia="Times" w:hAnsi="L Frutiger Light." w:cs="Times New Roman"/>
          <w:szCs w:val="20"/>
          <w:lang w:val="en-GB"/>
        </w:rPr>
      </w:pPr>
    </w:p>
    <w:p w:rsidR="005348F2" w:rsidRPr="005348F2" w:rsidRDefault="005348F2" w:rsidP="005348F2">
      <w:pPr>
        <w:spacing w:after="0" w:line="240" w:lineRule="auto"/>
        <w:rPr>
          <w:rFonts w:ascii="L Frutiger Light." w:eastAsia="Times" w:hAnsi="L Frutiger Light." w:cs="Times New Roman"/>
          <w:szCs w:val="20"/>
          <w:lang w:val="en-GB"/>
        </w:rPr>
      </w:pPr>
      <w:r w:rsidRPr="005348F2">
        <w:rPr>
          <w:rFonts w:ascii="L Frutiger Light." w:eastAsia="Times" w:hAnsi="L Frutiger Light." w:cs="Times New Roman"/>
          <w:szCs w:val="20"/>
          <w:lang w:val="en-GB"/>
        </w:rPr>
        <w:t>References for Key Competencies</w:t>
      </w:r>
    </w:p>
    <w:p w:rsidR="005348F2" w:rsidRPr="005348F2" w:rsidRDefault="005348F2" w:rsidP="005348F2">
      <w:pPr>
        <w:numPr>
          <w:ilvl w:val="0"/>
          <w:numId w:val="2"/>
        </w:numPr>
        <w:spacing w:after="0" w:line="240" w:lineRule="auto"/>
        <w:rPr>
          <w:rFonts w:ascii="L Frutiger Light." w:eastAsia="Times" w:hAnsi="L Frutiger Light." w:cs="Times New Roman"/>
          <w:szCs w:val="20"/>
          <w:lang w:val="en-GB"/>
        </w:rPr>
      </w:pPr>
      <w:r w:rsidRPr="005348F2">
        <w:rPr>
          <w:rFonts w:ascii="L Frutiger Light." w:eastAsia="Times" w:hAnsi="L Frutiger Light." w:cs="Times New Roman"/>
          <w:szCs w:val="20"/>
          <w:lang w:val="en-GB"/>
        </w:rPr>
        <w:t>Patient Sample Routine</w:t>
      </w:r>
    </w:p>
    <w:p w:rsidR="005348F2" w:rsidRPr="005348F2" w:rsidRDefault="005348F2" w:rsidP="005348F2">
      <w:pPr>
        <w:overflowPunct w:val="0"/>
        <w:autoSpaceDE w:val="0"/>
        <w:autoSpaceDN w:val="0"/>
        <w:adjustRightInd w:val="0"/>
        <w:spacing w:before="240" w:after="60" w:line="240" w:lineRule="auto"/>
        <w:jc w:val="center"/>
        <w:textAlignment w:val="baseline"/>
        <w:outlineLvl w:val="0"/>
        <w:rPr>
          <w:rFonts w:ascii="Verdana" w:eastAsia="Times New Roman" w:hAnsi="Verdana" w:cs="Times New Roman"/>
          <w:b/>
          <w:caps/>
          <w:snapToGrid w:val="0"/>
          <w:kern w:val="28"/>
          <w:sz w:val="20"/>
          <w:szCs w:val="20"/>
          <w:lang w:val="en-US"/>
        </w:rPr>
      </w:pPr>
    </w:p>
    <w:p w:rsidR="00F5144A" w:rsidRDefault="00F5144A">
      <w:bookmarkStart w:id="0" w:name="_GoBack"/>
      <w:bookmarkEnd w:id="0"/>
    </w:p>
    <w:sectPr w:rsidR="00F5144A" w:rsidSect="000D4623">
      <w:headerReference w:type="default" r:id="rId5"/>
      <w:footerReference w:type="even" r:id="rId6"/>
      <w:headerReference w:type="first" r:id="rId7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5348F2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E74A51" w:rsidRDefault="005348F2">
    <w:pPr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E74A51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E74A51" w:rsidRPr="00C31D5A" w:rsidRDefault="005348F2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5348F2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456583" w:rsidRDefault="005348F2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395D11" w:rsidRDefault="005348F2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5348F2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5348F2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5348F2" w:rsidP="00931034">
          <w:pPr>
            <w:pStyle w:val="Header"/>
          </w:pPr>
          <w:r>
            <w:t>23</w:t>
          </w:r>
          <w:r>
            <w:t>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4A4462" w:rsidRDefault="005348F2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>
            <w:rPr>
              <w:noProof/>
            </w:rPr>
            <w:t>1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>
            <w:rPr>
              <w:noProof/>
            </w:rPr>
            <w:t>1</w:t>
          </w:r>
          <w:r w:rsidRPr="00172147">
            <w:fldChar w:fldCharType="end"/>
          </w:r>
          <w:r>
            <w:t xml:space="preserve"> 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5348F2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5348F2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E74A51" w:rsidRPr="00B921B7" w:rsidRDefault="005348F2" w:rsidP="00D2010F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Default="005348F2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5348F2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5348F2" w:rsidP="00D2010F">
          <w:pPr>
            <w:pStyle w:val="Header"/>
          </w:pPr>
          <w:r>
            <w:t xml:space="preserve">Ms </w:t>
          </w:r>
          <w:r>
            <w:t>Ann-Marie O’Donovan</w:t>
          </w:r>
        </w:p>
      </w:tc>
    </w:tr>
  </w:tbl>
  <w:p w:rsidR="00E74A51" w:rsidRDefault="005348F2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5348F2" w:rsidP="00955A76">
          <w:pPr>
            <w:pStyle w:val="Header"/>
          </w:pPr>
          <w:r>
            <w:rPr>
              <w:b/>
            </w:rPr>
            <w:t>Title:</w:t>
          </w:r>
          <w:r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5348F2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5348F2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5348F2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5348F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5348F2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5348F2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5348F2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5348F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5348F2" w:rsidP="00955A76">
          <w:pPr>
            <w:pStyle w:val="Header"/>
            <w:rPr>
              <w:b/>
            </w:rPr>
          </w:pPr>
          <w:r>
            <w:rPr>
              <w:b/>
            </w:rPr>
            <w:t xml:space="preserve">Approved </w:t>
          </w:r>
          <w:r>
            <w:rPr>
              <w:b/>
            </w:rPr>
            <w:t>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5348F2" w:rsidP="00955A76">
          <w:pPr>
            <w:pStyle w:val="Header"/>
          </w:pPr>
          <w:r>
            <w:t>Dr Bartley Cryan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5348F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5348F2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5348F2" w:rsidP="00955A76">
          <w:pPr>
            <w:pStyle w:val="Header"/>
          </w:pPr>
          <w:r w:rsidRPr="00C31D5A">
            <w:t>Ms Helen Keeffe</w:t>
          </w:r>
        </w:p>
      </w:tc>
    </w:tr>
  </w:tbl>
  <w:p w:rsidR="00CB14A2" w:rsidRDefault="005348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887B08"/>
    <w:multiLevelType w:val="hybridMultilevel"/>
    <w:tmpl w:val="7FA69B3E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B3746D"/>
    <w:multiLevelType w:val="hybridMultilevel"/>
    <w:tmpl w:val="9CD89080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8F2"/>
    <w:rsid w:val="004D37B4"/>
    <w:rsid w:val="005348F2"/>
    <w:rsid w:val="00F5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5EF4E2-98A2-485E-B639-68CC100DC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34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348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Chuk (Medical Scientist, Biochemistry Lab, CUH)</dc:creator>
  <cp:keywords/>
  <dc:description/>
  <cp:lastModifiedBy>Peter Chuk (Medical Scientist, Biochemistry Lab, CUH)</cp:lastModifiedBy>
  <cp:revision>1</cp:revision>
  <dcterms:created xsi:type="dcterms:W3CDTF">2026-04-09T11:53:00Z</dcterms:created>
  <dcterms:modified xsi:type="dcterms:W3CDTF">2026-04-09T11:53:00Z</dcterms:modified>
</cp:coreProperties>
</file>