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12218/2026</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SECCIONAL LUÍS CORREIA – DIVISÃO DE HOMICÍDIOS E PROTEÇÃO À PESSOA, REPRESSÃO E COMBATE AO TRÁFICO – LUÍS CORREIA/PI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SECCIONAL LUÍS CORREIA – DIVISÃO DE HOMICÍDIOS E PROTEÇÃO À PESSOA, REPRESSÃO E COMBATE AO TRÁFICO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xml:space="preserve">. O referido material foi encaminhado diretamente ao Setor de Química Forense para realização do exame definitivo, sem submissão a exame preliminar prévio,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21,20</w:t>
            </w:r>
            <w:r>
              <w:rPr>
                <w:rFonts w:ascii="Times New Roman" w:hAnsi="Times New Roman" w:cs="Times New Roman"/>
                <w:sz w:val="20"/>
                <w:szCs w:val="20"/>
              </w:rPr>
              <w:t xml:space="preserve"> g (</w:t>
            </w:r>
            <w:r>
              <w:rPr>
                <w:rFonts w:ascii="Times New Roman" w:hAnsi="Times New Roman" w:cs="Times New Roman"/>
                <w:i/>
                <w:iCs/>
                <w:sz w:val="20"/>
                <w:szCs w:val="20"/>
              </w:rPr>
              <w:t>vinte e um gramas e vinte centigramas</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 (nove)</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12218/2026</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 – LUÍS CORREIA/PI</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PI24365157</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FE5EA" w14:textId="77777777" w:rsidR="00D10E0A" w:rsidRDefault="00D10E0A">
      <w:r>
        <w:separator/>
      </w:r>
    </w:p>
  </w:endnote>
  <w:endnote w:type="continuationSeparator" w:id="0">
    <w:p w14:paraId="710F48AE" w14:textId="77777777" w:rsidR="00D10E0A" w:rsidRDefault="00D10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9483B" w14:textId="77777777" w:rsidR="00D10E0A" w:rsidRDefault="00D10E0A">
      <w:r>
        <w:separator/>
      </w:r>
    </w:p>
  </w:footnote>
  <w:footnote w:type="continuationSeparator" w:id="0">
    <w:p w14:paraId="5BE6A6B0" w14:textId="77777777" w:rsidR="00D10E0A" w:rsidRDefault="00D10E0A">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00146707-78</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10E0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2242</Words>
  <Characters>12112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9</cp:revision>
  <dcterms:created xsi:type="dcterms:W3CDTF">2026-06-03T18:11:00Z</dcterms:created>
  <dcterms:modified xsi:type="dcterms:W3CDTF">2026-06-05T12:05:00Z</dcterms:modified>
</cp:coreProperties>
</file>