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rsidR="002307C0" w:rsidRPr="00170E58" w:rsidRDefault="002307C0" w:rsidP="002307C0">
      <w:pPr>
        <w:rPr>
          <w:rFonts w:ascii="Times New Roman" w:hAnsi="Times New Roman" w:cs="Times New Roman"/>
          <w:sz w:val="24"/>
          <w:szCs w:val="24"/>
        </w:rPr>
      </w:pPr>
    </w:p>
    <w:p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rsidR="002307C0" w:rsidRPr="00170E58" w:rsidRDefault="002307C0" w:rsidP="00296B30">
      <w:pPr>
        <w:pStyle w:val="SemEspaamento"/>
      </w:pPr>
    </w:p>
    <w:p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21</w:t>
      </w:r>
      <w:r>
        <w:rPr>
          <w:rFonts w:ascii="Times New Roman" w:hAnsi="Times New Roman" w:cs="Times New Roman"/>
          <w:sz w:val="24"/>
          <w:szCs w:val="24"/>
        </w:rPr>
        <w:t xml:space="preserve"> de </w:t>
      </w:r>
      <w:r>
        <w:rPr>
          <w:rFonts w:ascii="Times New Roman" w:hAnsi="Times New Roman" w:cs="Times New Roman"/>
          <w:b/>
          <w:bCs/>
          <w:sz w:val="24"/>
          <w:szCs w:val="24"/>
        </w:rPr>
        <w:t>maio</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maio</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F96003">
        <w:rPr>
          <w:rFonts w:ascii="Times New Roman" w:hAnsi="Times New Roman" w:cs="Times New Roman"/>
          <w:b/>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rsidR="00533532" w:rsidRPr="00170E58" w:rsidRDefault="00533532" w:rsidP="00296B30">
      <w:pPr>
        <w:pStyle w:val="SemEspaamento"/>
      </w:pPr>
    </w:p>
    <w:p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rsidR="00170E58" w:rsidRDefault="00170E58" w:rsidP="00296B30">
      <w:pPr>
        <w:pStyle w:val="SemEspaamento"/>
      </w:pPr>
    </w:p>
    <w:p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rsidR="00533532" w:rsidRPr="00170E58" w:rsidRDefault="00533532" w:rsidP="00296B30">
      <w:pPr>
        <w:pStyle w:val="SemEspaamento"/>
      </w:pPr>
    </w:p>
    <w:p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FB7702">
        <w:rPr>
          <w:rFonts w:ascii="Times New Roman" w:hAnsi="Times New Roman" w:cs="Times New Roman"/>
          <w:sz w:val="24"/>
          <w:szCs w:val="24"/>
        </w:rPr>
        <w:t xml:space="preserve">Foi submetido a exame preliminar no núcleo pericial pelo Perito Criminal plantonista, referente à Demanda nº. </w:t>
      </w:r>
      <w:r w:rsidR="00FB7702">
        <w:rPr>
          <w:rFonts w:ascii="Times New Roman" w:hAnsi="Times New Roman" w:cs="Times New Roman"/>
          <w:b/>
          <w:bCs/>
          <w:sz w:val="24"/>
          <w:szCs w:val="24"/>
        </w:rPr>
        <w:t>[DEMANDA_PRELIM]</w:t>
      </w:r>
      <w:r w:rsidR="00FB7702">
        <w:rPr>
          <w:rFonts w:ascii="Times New Roman" w:hAnsi="Times New Roman" w:cs="Times New Roman"/>
          <w:sz w:val="24"/>
          <w:szCs w:val="24"/>
        </w:rPr>
        <w:t xml:space="preserve">. Nessa etapa, o material foi transferido para o Envelope de Vestígios/Lacre nº. </w:t>
      </w:r>
      <w:r w:rsidR="00FB7702">
        <w:rPr>
          <w:rFonts w:ascii="Times New Roman" w:hAnsi="Times New Roman" w:cs="Times New Roman"/>
          <w:b/>
          <w:bCs/>
          <w:sz w:val="24"/>
          <w:szCs w:val="24"/>
        </w:rPr>
        <w:t>[ENV_POS_PRELIM]</w:t>
      </w:r>
      <w:r w:rsidR="00FB7702">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sidR="00FB7702">
        <w:rPr>
          <w:rFonts w:ascii="Times New Roman" w:hAnsi="Times New Roman" w:cs="Times New Roman"/>
          <w:sz w:val="24"/>
          <w:szCs w:val="24"/>
        </w:rPr>
        <w:t>arts</w:t>
      </w:r>
      <w:proofErr w:type="spellEnd"/>
      <w:r w:rsidR="00FB7702">
        <w:rPr>
          <w:rFonts w:ascii="Times New Roman" w:hAnsi="Times New Roman" w:cs="Times New Roman"/>
          <w:sz w:val="24"/>
          <w:szCs w:val="24"/>
        </w:rPr>
        <w:t>. 158-A a 158-F do CPP (Lei 13.964/2019)</w:t>
      </w:r>
      <w:r>
        <w:rPr>
          <w:rFonts w:ascii="Times New Roman" w:hAnsi="Times New Roman" w:cs="Times New Roman"/>
          <w:sz w:val="24"/>
          <w:szCs w:val="24"/>
        </w:rPr>
        <w:t>.</w:t>
      </w:r>
    </w:p>
    <w:p w:rsidR="00533532" w:rsidRPr="007B71B0" w:rsidRDefault="00533532" w:rsidP="007B71B0">
      <w:pPr>
        <w:rPr>
          <w:sz w:val="24"/>
          <w:szCs w:val="24"/>
        </w:rPr>
      </w:pP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rsidTr="00CE274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rsidR="00533532" w:rsidRPr="00B674A3" w:rsidRDefault="003217D0" w:rsidP="003217D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Tabletes e</w:t>
            </w:r>
            <w:r w:rsidR="00B674A3">
              <w:rPr>
                <w:rFonts w:ascii="Times New Roman" w:hAnsi="Times New Roman" w:cs="Times New Roman"/>
                <w:sz w:val="20"/>
                <w:szCs w:val="20"/>
              </w:rPr>
              <w:t>nvólucros plásticos e de papel alumínio</w:t>
            </w:r>
          </w:p>
        </w:tc>
        <w:tc>
          <w:tcPr>
            <w:tcW w:w="3119" w:type="dxa"/>
          </w:tcPr>
          <w:p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bl>
    <w:p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580BEF0">
            <wp:extent cx="3680767" cy="3511745"/>
            <wp:effectExtent l="19050" t="19050" r="15240" b="1270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3712800" cy="3542307"/>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rsidR="00EE0001" w:rsidRDefault="00A7728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40770" cy="3561128"/>
            <wp:effectExtent l="0" t="0" r="0" b="1270"/>
            <wp:docPr id="99" name="Foto2_Per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Foto2_Pericial"/>
                    <pic:cNvPicPr>
                      <a:picLocks noChangeAspect="1" noChangeArrowheads="1"/>
                    </pic:cNvPicPr>
                  </pic:nvPicPr>
                  <pic:blipFill>
                    <a:blip r:embed="rId8"/>
                    <a:stretch>
                      <a:fillRect/>
                    </a:stretch>
                  </pic:blipFill>
                  <pic:spPr bwMode="auto">
                    <a:xfrm>
                      <a:off x="0" y="0"/>
                      <a:ext cx="3658883" cy="3578844"/>
                    </a:xfrm>
                    <a:prstGeom prst="rect">
                      <a:avLst/>
                    </a:prstGeom>
                    <a:noFill/>
                  </pic:spPr>
                </pic:pic>
              </a:graphicData>
            </a:graphic>
          </wp:inline>
        </w:drawing>
      </w:r>
    </w:p>
    <w:p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rsidR="00533532" w:rsidRPr="007B71B0" w:rsidRDefault="00533532" w:rsidP="007B71B0">
      <w:pPr>
        <w:rPr>
          <w:rFonts w:ascii="Times New Roman" w:hAnsi="Times New Roman" w:cs="Times New Roman"/>
          <w:sz w:val="24"/>
          <w:szCs w:val="24"/>
        </w:rPr>
      </w:pP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rsidR="00533532" w:rsidRPr="007B71B0" w:rsidRDefault="00533532" w:rsidP="00296B30">
      <w:pPr>
        <w:pStyle w:val="SemEspaamento"/>
      </w:pP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rsidR="00533532" w:rsidRPr="007B71B0" w:rsidRDefault="00533532" w:rsidP="00296B30">
      <w:pPr>
        <w:pStyle w:val="SemEspaamento"/>
      </w:pPr>
    </w:p>
    <w:p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rsidR="00FF0001" w:rsidRDefault="003217D0">
      <w:pPr>
        <w:spacing w:before="80" w:after="80"/>
        <w:jc w:val="both"/>
        <w:rPr>
          <w:rFonts w:ascii="Times New Roman" w:eastAsia="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w:t>
      </w:r>
      <w:r>
        <w:rPr>
          <w:rFonts w:ascii="Times New Roman" w:hAnsi="Times New Roman" w:cs="Times New Roman"/>
          <w:sz w:val="24"/>
          <w:szCs w:val="24"/>
        </w:rPr>
        <w:t>1</w:t>
      </w:r>
      <w:r>
        <w:rPr>
          <w:rFonts w:ascii="Times New Roman" w:hAnsi="Times New Roman" w:cs="Times New Roman"/>
          <w:sz w:val="24"/>
          <w:szCs w:val="24"/>
        </w:rPr>
        <w:t xml:space="preserve">.0, </w:t>
      </w:r>
      <w:r>
        <w:rPr>
          <w:rFonts w:ascii="Times New Roman" w:hAnsi="Times New Roman" w:cs="Times New Roman"/>
          <w:sz w:val="24"/>
          <w:szCs w:val="24"/>
        </w:rPr>
        <w:t>10</w:t>
      </w:r>
      <w:r>
        <w:rPr>
          <w:rFonts w:ascii="Times New Roman" w:hAnsi="Times New Roman" w:cs="Times New Roman"/>
          <w:sz w:val="24"/>
          <w:szCs w:val="24"/>
        </w:rPr>
        <w:t>/0</w:t>
      </w:r>
      <w:r>
        <w:rPr>
          <w:rFonts w:ascii="Times New Roman" w:hAnsi="Times New Roman" w:cs="Times New Roman"/>
          <w:sz w:val="24"/>
          <w:szCs w:val="24"/>
        </w:rPr>
        <w:t>5</w:t>
      </w:r>
      <w:r>
        <w:rPr>
          <w:rFonts w:ascii="Times New Roman" w:hAnsi="Times New Roman" w:cs="Times New Roman"/>
          <w:sz w:val="24"/>
          <w:szCs w:val="24"/>
        </w:rPr>
        <w:t>/2026).</w:t>
      </w:r>
      <w:r w:rsidR="00A77282">
        <w:rPr>
          <w:rFonts w:ascii="Times New Roman" w:eastAsia="Times New Roman" w:hAnsi="Times New Roman" w:cs="Times New Roman"/>
          <w:sz w:val="24"/>
          <w:szCs w:val="24"/>
        </w:rPr>
        <w:t xml:space="preserve"> O instrumento foi submetido ao Protocolo de Qualificação de Desempenho (OVP /</w:t>
      </w:r>
      <w:r w:rsidR="00A77282">
        <w:rPr>
          <w:rFonts w:ascii="Times New Roman" w:eastAsia="Times New Roman" w:hAnsi="Times New Roman" w:cs="Times New Roman"/>
          <w:sz w:val="24"/>
          <w:szCs w:val="24"/>
        </w:rPr>
        <w:t xml:space="preserve"> PQ Test) em 1</w:t>
      </w:r>
      <w:r>
        <w:rPr>
          <w:rFonts w:ascii="Times New Roman" w:eastAsia="Times New Roman" w:hAnsi="Times New Roman" w:cs="Times New Roman"/>
          <w:sz w:val="24"/>
          <w:szCs w:val="24"/>
        </w:rPr>
        <w:t>2</w:t>
      </w:r>
      <w:r w:rsidR="00A77282">
        <w:rPr>
          <w:rFonts w:ascii="Times New Roman" w:eastAsia="Times New Roman" w:hAnsi="Times New Roman" w:cs="Times New Roman"/>
          <w:sz w:val="24"/>
          <w:szCs w:val="24"/>
        </w:rPr>
        <w:t xml:space="preserve">/06/2026 às 14:04 h (GMT-3), </w:t>
      </w:r>
      <w:r>
        <w:rPr>
          <w:rFonts w:ascii="Times New Roman" w:eastAsia="Times New Roman" w:hAnsi="Times New Roman" w:cs="Times New Roman"/>
          <w:sz w:val="24"/>
          <w:szCs w:val="24"/>
        </w:rPr>
        <w:t xml:space="preserve">válido até [DATA_VALID_OVP] </w:t>
      </w:r>
      <w:r>
        <w:rPr>
          <w:rFonts w:ascii="Times New Roman" w:eastAsia="Times New Roman" w:hAnsi="Times New Roman" w:cs="Times New Roman"/>
          <w:sz w:val="24"/>
          <w:szCs w:val="24"/>
        </w:rPr>
        <w:t>às 14:04 h (GMT-3)</w:t>
      </w:r>
      <w:r>
        <w:rPr>
          <w:rFonts w:ascii="Times New Roman" w:eastAsia="Times New Roman" w:hAnsi="Times New Roman" w:cs="Times New Roman"/>
          <w:sz w:val="24"/>
          <w:szCs w:val="24"/>
        </w:rPr>
        <w:t xml:space="preserve">, </w:t>
      </w:r>
      <w:r w:rsidR="00A77282">
        <w:rPr>
          <w:rFonts w:ascii="Times New Roman" w:eastAsia="Times New Roman" w:hAnsi="Times New Roman" w:cs="Times New Roman"/>
          <w:sz w:val="24"/>
          <w:szCs w:val="24"/>
        </w:rPr>
        <w:t xml:space="preserve">com resultado geral </w:t>
      </w:r>
      <w:r w:rsidR="00A77282">
        <w:rPr>
          <w:rFonts w:ascii="Times New Roman" w:eastAsia="Times New Roman" w:hAnsi="Times New Roman" w:cs="Times New Roman"/>
          <w:b/>
          <w:bCs/>
          <w:sz w:val="24"/>
          <w:szCs w:val="24"/>
        </w:rPr>
        <w:t>PASSED</w:t>
      </w:r>
      <w:r w:rsidR="00A77282">
        <w:rPr>
          <w:rFonts w:ascii="Times New Roman" w:eastAsia="Times New Roman" w:hAnsi="Times New Roman" w:cs="Times New Roman"/>
          <w:sz w:val="24"/>
          <w:szCs w:val="24"/>
        </w:rPr>
        <w:t xml:space="preserve"> (S/N medido: [SN_VALOR]; desvio da linha 100%: [LINHA100_VALOR]%; exatidão de número de onda: [DESVIO_NV] cm⁻¹ — máx. admissível ±0,50 cm⁻¹), atestando plena conformidade instrumental à época da realização dos e</w:t>
      </w:r>
      <w:r w:rsidR="00A77282">
        <w:rPr>
          <w:rFonts w:ascii="Times New Roman" w:eastAsia="Times New Roman" w:hAnsi="Times New Roman" w:cs="Times New Roman"/>
          <w:sz w:val="24"/>
          <w:szCs w:val="24"/>
        </w:rPr>
        <w:t>xames.</w:t>
      </w:r>
    </w:p>
    <w:p w:rsidR="00533532" w:rsidRPr="007B71B0" w:rsidRDefault="00533532" w:rsidP="00296B30">
      <w:pPr>
        <w:pStyle w:val="SemEspaamento"/>
      </w:pPr>
    </w:p>
    <w:p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rsidR="00533532" w:rsidRPr="007B71B0" w:rsidRDefault="00533532" w:rsidP="00296B30">
      <w:pPr>
        <w:pStyle w:val="SemEspaamento"/>
      </w:pPr>
    </w:p>
    <w:p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2"/>
      </w: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rsidR="00256A8B" w:rsidRDefault="00256A8B" w:rsidP="00256A8B">
      <w:pPr>
        <w:jc w:val="both"/>
        <w:rPr>
          <w:b/>
        </w:rPr>
      </w:pPr>
    </w:p>
    <w:p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 xml:space="preserve">2.3.   </w:t>
      </w:r>
      <w:r w:rsidRPr="007B71B0">
        <w:rPr>
          <w:rFonts w:ascii="Times New Roman" w:hAnsi="Times New Roman" w:cs="Times New Roman"/>
          <w:sz w:val="24"/>
          <w:szCs w:val="24"/>
        </w:rPr>
        <w:t>Espectroscopia no Infravermelho por Transformada de Fourier (FTIR-ATR)</w:t>
      </w:r>
    </w:p>
    <w:p w:rsidR="00E61541" w:rsidRDefault="00E61541"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r w:rsidR="00B75828">
        <w:rPr>
          <w:rFonts w:ascii="Times New Roman" w:hAnsi="Times New Roman" w:cs="Times New Roman"/>
          <w:sz w:val="24"/>
          <w:szCs w:val="24"/>
        </w:rPr>
        <w:t xml:space="preserve">dos itens questionados </w:t>
      </w:r>
      <w:r>
        <w:rPr>
          <w:rFonts w:ascii="Times New Roman" w:hAnsi="Times New Roman" w:cs="Times New Roman"/>
          <w:sz w:val="24"/>
          <w:szCs w:val="24"/>
        </w:rPr>
        <w:t>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w:t>
      </w:r>
      <w:r w:rsidR="00CE1DD4">
        <w:rPr>
          <w:rFonts w:ascii="Times New Roman" w:hAnsi="Times New Roman" w:cs="Times New Roman"/>
          <w:sz w:val="24"/>
          <w:szCs w:val="24"/>
        </w:rPr>
        <w:t>.</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rsidR="00CE1DD4" w:rsidRPr="007B71B0" w:rsidRDefault="00CE1DD4" w:rsidP="00CE1DD4">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003217D0">
        <w:rPr>
          <w:rFonts w:ascii="Times New Roman" w:eastAsia="Times New Roman" w:hAnsi="Times New Roman" w:cs="Times New Roman"/>
          <w:sz w:val="24"/>
          <w:szCs w:val="24"/>
        </w:rPr>
        <w:t xml:space="preserve">Espectrômetro </w:t>
      </w:r>
      <w:proofErr w:type="spellStart"/>
      <w:r w:rsidR="003217D0">
        <w:rPr>
          <w:rFonts w:ascii="Times New Roman" w:eastAsia="Times New Roman" w:hAnsi="Times New Roman" w:cs="Times New Roman"/>
          <w:i/>
          <w:iCs/>
          <w:sz w:val="24"/>
          <w:szCs w:val="24"/>
        </w:rPr>
        <w:t>Bruker</w:t>
      </w:r>
      <w:proofErr w:type="spellEnd"/>
      <w:r w:rsidR="003217D0">
        <w:rPr>
          <w:rFonts w:ascii="Times New Roman" w:eastAsia="Times New Roman" w:hAnsi="Times New Roman" w:cs="Times New Roman"/>
          <w:i/>
          <w:iCs/>
          <w:sz w:val="24"/>
          <w:szCs w:val="24"/>
        </w:rPr>
        <w:t xml:space="preserve"> Alpha II</w:t>
      </w:r>
      <w:r w:rsidR="003217D0">
        <w:rPr>
          <w:rFonts w:ascii="Times New Roman" w:eastAsia="Times New Roman" w:hAnsi="Times New Roman" w:cs="Times New Roman"/>
          <w:sz w:val="24"/>
          <w:szCs w:val="24"/>
        </w:rPr>
        <w:t xml:space="preserve"> (nº de série 210363), equipado com acessório de </w:t>
      </w:r>
      <w:proofErr w:type="spellStart"/>
      <w:r w:rsidR="003217D0">
        <w:rPr>
          <w:rFonts w:ascii="Times New Roman" w:eastAsia="Times New Roman" w:hAnsi="Times New Roman" w:cs="Times New Roman"/>
          <w:sz w:val="24"/>
          <w:szCs w:val="24"/>
        </w:rPr>
        <w:t>Reflectância</w:t>
      </w:r>
      <w:proofErr w:type="spellEnd"/>
      <w:r w:rsidR="003217D0">
        <w:rPr>
          <w:rFonts w:ascii="Times New Roman" w:eastAsia="Times New Roman" w:hAnsi="Times New Roman" w:cs="Times New Roman"/>
          <w:sz w:val="24"/>
          <w:szCs w:val="24"/>
        </w:rPr>
        <w:t xml:space="preserve"> Total Atenuada (ATR) com cristal de diamante (ATR Platinum T — 1 reflexão), operando na região espectral de 4000 a 650 cm⁻¹, com 16 varreduras (</w:t>
      </w:r>
      <w:proofErr w:type="spellStart"/>
      <w:r w:rsidR="003217D0">
        <w:rPr>
          <w:rFonts w:ascii="Times New Roman" w:eastAsia="Times New Roman" w:hAnsi="Times New Roman" w:cs="Times New Roman"/>
          <w:i/>
          <w:iCs/>
          <w:sz w:val="24"/>
          <w:szCs w:val="24"/>
        </w:rPr>
        <w:t>scans</w:t>
      </w:r>
      <w:proofErr w:type="spellEnd"/>
      <w:r w:rsidR="003217D0">
        <w:rPr>
          <w:rFonts w:ascii="Times New Roman" w:eastAsia="Times New Roman" w:hAnsi="Times New Roman" w:cs="Times New Roman"/>
          <w:sz w:val="24"/>
          <w:szCs w:val="24"/>
        </w:rPr>
        <w:t xml:space="preserve">) e resolução de 4 cm⁻¹. O processamento e a identificação espectral foram realizados pelo software </w:t>
      </w:r>
      <w:r w:rsidR="003217D0">
        <w:rPr>
          <w:rFonts w:ascii="Times New Roman" w:eastAsia="Times New Roman" w:hAnsi="Times New Roman" w:cs="Times New Roman"/>
          <w:i/>
          <w:iCs/>
          <w:sz w:val="24"/>
          <w:szCs w:val="24"/>
        </w:rPr>
        <w:t xml:space="preserve">OPUS </w:t>
      </w:r>
      <w:proofErr w:type="spellStart"/>
      <w:r w:rsidR="003217D0">
        <w:rPr>
          <w:rFonts w:ascii="Times New Roman" w:eastAsia="Times New Roman" w:hAnsi="Times New Roman" w:cs="Times New Roman"/>
          <w:i/>
          <w:iCs/>
          <w:sz w:val="24"/>
          <w:szCs w:val="24"/>
        </w:rPr>
        <w:t>DrugID</w:t>
      </w:r>
      <w:proofErr w:type="spellEnd"/>
      <w:r w:rsidR="003217D0">
        <w:rPr>
          <w:rFonts w:ascii="Times New Roman" w:eastAsia="Times New Roman" w:hAnsi="Times New Roman" w:cs="Times New Roman"/>
          <w:i/>
          <w:iCs/>
          <w:sz w:val="24"/>
          <w:szCs w:val="24"/>
        </w:rPr>
        <w:t xml:space="preserve"> </w:t>
      </w:r>
      <w:proofErr w:type="spellStart"/>
      <w:r w:rsidR="003217D0">
        <w:rPr>
          <w:rFonts w:ascii="Times New Roman" w:eastAsia="Times New Roman" w:hAnsi="Times New Roman" w:cs="Times New Roman"/>
          <w:i/>
          <w:iCs/>
          <w:sz w:val="24"/>
          <w:szCs w:val="24"/>
        </w:rPr>
        <w:t>Wizard</w:t>
      </w:r>
      <w:proofErr w:type="spellEnd"/>
      <w:r w:rsidR="003217D0">
        <w:rPr>
          <w:rFonts w:ascii="Times New Roman" w:eastAsia="Times New Roman" w:hAnsi="Times New Roman" w:cs="Times New Roman"/>
          <w:sz w:val="24"/>
          <w:szCs w:val="24"/>
        </w:rPr>
        <w:t xml:space="preserve"> (</w:t>
      </w:r>
      <w:proofErr w:type="spellStart"/>
      <w:r w:rsidR="003217D0">
        <w:rPr>
          <w:rFonts w:ascii="Times New Roman" w:eastAsia="Times New Roman" w:hAnsi="Times New Roman" w:cs="Times New Roman"/>
          <w:sz w:val="24"/>
          <w:szCs w:val="24"/>
        </w:rPr>
        <w:t>Bruker</w:t>
      </w:r>
      <w:proofErr w:type="spellEnd"/>
      <w:r w:rsidR="003217D0">
        <w:rPr>
          <w:rFonts w:ascii="Times New Roman" w:eastAsia="Times New Roman" w:hAnsi="Times New Roman" w:cs="Times New Roman"/>
          <w:sz w:val="24"/>
          <w:szCs w:val="24"/>
        </w:rPr>
        <w:t xml:space="preserve"> </w:t>
      </w:r>
      <w:proofErr w:type="spellStart"/>
      <w:r w:rsidR="003217D0">
        <w:rPr>
          <w:rFonts w:ascii="Times New Roman" w:eastAsia="Times New Roman" w:hAnsi="Times New Roman" w:cs="Times New Roman"/>
          <w:sz w:val="24"/>
          <w:szCs w:val="24"/>
        </w:rPr>
        <w:t>Optik</w:t>
      </w:r>
      <w:proofErr w:type="spellEnd"/>
      <w:r w:rsidR="003217D0">
        <w:rPr>
          <w:rFonts w:ascii="Times New Roman" w:eastAsia="Times New Roman" w:hAnsi="Times New Roman" w:cs="Times New Roman"/>
          <w:sz w:val="24"/>
          <w:szCs w:val="24"/>
        </w:rPr>
        <w:t xml:space="preserve"> </w:t>
      </w:r>
      <w:proofErr w:type="spellStart"/>
      <w:r w:rsidR="003217D0">
        <w:rPr>
          <w:rFonts w:ascii="Times New Roman" w:eastAsia="Times New Roman" w:hAnsi="Times New Roman" w:cs="Times New Roman"/>
          <w:sz w:val="24"/>
          <w:szCs w:val="24"/>
        </w:rPr>
        <w:t>GmbH</w:t>
      </w:r>
      <w:proofErr w:type="spellEnd"/>
      <w:r w:rsidR="003217D0">
        <w:rPr>
          <w:rFonts w:ascii="Times New Roman" w:eastAsia="Times New Roman" w:hAnsi="Times New Roman" w:cs="Times New Roman"/>
          <w:sz w:val="24"/>
          <w:szCs w:val="24"/>
        </w:rPr>
        <w:t>), versão 8.2 Build 8.2.28 / DB 8.2.28.242.</w:t>
      </w:r>
    </w:p>
    <w:p w:rsidR="00FF0001" w:rsidRPr="003217D0" w:rsidRDefault="00A77282" w:rsidP="003217D0">
      <w:pPr>
        <w:pStyle w:val="SemEspaamento"/>
        <w:jc w:val="both"/>
        <w:rPr>
          <w:rFonts w:ascii="Times New Roman" w:hAnsi="Times New Roman" w:cs="Times New Roman"/>
          <w:sz w:val="24"/>
          <w:szCs w:val="24"/>
        </w:rPr>
      </w:pPr>
      <w:r w:rsidRPr="003217D0">
        <w:rPr>
          <w:rFonts w:ascii="Times New Roman" w:hAnsi="Times New Roman" w:cs="Times New Roman"/>
          <w:sz w:val="24"/>
          <w:szCs w:val="24"/>
        </w:rPr>
        <w:t xml:space="preserve">Os espectros obtidos foram salvos para garantia da cadeia de custódia e rastreabilidade do material, conforme POP SENASP nº 9.09 (2024), e comparados com espectros de referência por meio do software </w:t>
      </w:r>
      <w:r w:rsidRPr="003217D0">
        <w:rPr>
          <w:rFonts w:ascii="Times New Roman" w:hAnsi="Times New Roman" w:cs="Times New Roman"/>
          <w:i/>
          <w:iCs/>
          <w:sz w:val="24"/>
          <w:szCs w:val="24"/>
        </w:rPr>
        <w:t>OPUS DrugID Wizard</w:t>
      </w:r>
      <w:r w:rsidRPr="003217D0">
        <w:rPr>
          <w:rFonts w:ascii="Times New Roman" w:hAnsi="Times New Roman" w:cs="Times New Roman"/>
          <w:sz w:val="24"/>
          <w:szCs w:val="24"/>
        </w:rPr>
        <w:t xml:space="preserve">. A avaliação não se limitou ao índice </w:t>
      </w:r>
      <w:r w:rsidRPr="003217D0">
        <w:rPr>
          <w:rFonts w:ascii="Times New Roman" w:hAnsi="Times New Roman" w:cs="Times New Roman"/>
          <w:sz w:val="24"/>
          <w:szCs w:val="24"/>
        </w:rPr>
        <w:t>de correspondência (</w:t>
      </w:r>
      <w:r w:rsidRPr="003217D0">
        <w:rPr>
          <w:rFonts w:ascii="Times New Roman" w:hAnsi="Times New Roman" w:cs="Times New Roman"/>
          <w:i/>
          <w:iCs/>
          <w:sz w:val="24"/>
          <w:szCs w:val="24"/>
        </w:rPr>
        <w:t>match</w:t>
      </w:r>
      <w:r w:rsidRPr="003217D0">
        <w:rPr>
          <w:rFonts w:ascii="Times New Roman" w:hAnsi="Times New Roman" w:cs="Times New Roman"/>
          <w:sz w:val="24"/>
          <w:szCs w:val="24"/>
        </w:rPr>
        <w:t xml:space="preserve">) fornecido pelo software, sendo realizada </w:t>
      </w:r>
      <w:r w:rsidRPr="003217D0">
        <w:rPr>
          <w:rFonts w:ascii="Times New Roman" w:hAnsi="Times New Roman" w:cs="Times New Roman"/>
          <w:b/>
          <w:bCs/>
          <w:sz w:val="24"/>
          <w:szCs w:val="24"/>
        </w:rPr>
        <w:t>comparação visual obrigatória</w:t>
      </w:r>
      <w:r w:rsidRPr="003217D0">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w:t>
      </w:r>
      <w:r w:rsidRPr="003217D0">
        <w:rPr>
          <w:rFonts w:ascii="Times New Roman" w:hAnsi="Times New Roman" w:cs="Times New Roman"/>
          <w:sz w:val="24"/>
          <w:szCs w:val="24"/>
        </w:rPr>
        <w:t>ência; (iii) localização dessas bandas no espectro questionado.</w:t>
      </w:r>
      <w:r w:rsidR="003217D0" w:rsidRPr="003217D0">
        <w:rPr>
          <w:rStyle w:val="Refdenotaderodap"/>
          <w:rFonts w:ascii="Times New Roman" w:hAnsi="Times New Roman" w:cs="Times New Roman"/>
          <w:sz w:val="24"/>
          <w:szCs w:val="24"/>
        </w:rPr>
        <w:t xml:space="preserve"> </w:t>
      </w:r>
      <w:r w:rsidR="003217D0" w:rsidRPr="003217D0">
        <w:rPr>
          <w:rStyle w:val="Refdenotaderodap"/>
          <w:rFonts w:ascii="Times New Roman" w:hAnsi="Times New Roman" w:cs="Times New Roman"/>
          <w:sz w:val="24"/>
          <w:szCs w:val="24"/>
        </w:rPr>
        <w:footnoteReference w:id="3"/>
      </w:r>
      <w:r w:rsidR="003217D0" w:rsidRPr="003217D0">
        <w:rPr>
          <w:rFonts w:ascii="Times New Roman" w:hAnsi="Times New Roman" w:cs="Times New Roman"/>
          <w:sz w:val="24"/>
          <w:szCs w:val="24"/>
        </w:rPr>
        <w:t xml:space="preserve"> </w:t>
      </w:r>
      <w:r w:rsidRPr="003217D0">
        <w:rPr>
          <w:rFonts w:ascii="Times New Roman" w:hAnsi="Times New Roman" w:cs="Times New Roman"/>
          <w:sz w:val="24"/>
          <w:szCs w:val="24"/>
        </w:rPr>
        <w:t>A tolerância declarada de ±4 cm⁻¹ é tecnicamente conservadora em relação à exatidão de número de onda verificada instrumentalmente pelo OVP vigente (desvio medido: [DESVIO_NV] cm⁻¹), conferindo marge</w:t>
      </w:r>
      <w:r w:rsidRPr="003217D0">
        <w:rPr>
          <w:rFonts w:ascii="Times New Roman" w:hAnsi="Times New Roman" w:cs="Times New Roman"/>
          <w:sz w:val="24"/>
          <w:szCs w:val="24"/>
        </w:rPr>
        <w:t>m analítica adicional de segurança às identificações realizadas.</w:t>
      </w:r>
    </w:p>
    <w:p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6F6C15E3" wp14:editId="2730C84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rsidR="00533532" w:rsidRPr="00296B30" w:rsidRDefault="00533532" w:rsidP="00296B30">
      <w:pPr>
        <w:pStyle w:val="SemEspaamento"/>
      </w:pPr>
    </w:p>
    <w:p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rsidR="00533532" w:rsidRDefault="00310CED" w:rsidP="008E04B3">
      <w:pPr>
        <w:spacing w:before="80" w:after="80"/>
        <w:jc w:val="both"/>
        <w:rPr>
          <w:rFonts w:ascii="Times New Roman" w:hAnsi="Times New Roman" w:cs="Times New Roman"/>
          <w:sz w:val="24"/>
          <w:szCs w:val="24"/>
        </w:rPr>
      </w:pPr>
      <w:bookmarkStart w:id="0" w:name="_Hlk231492372"/>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w:t>
      </w:r>
      <w:bookmarkEnd w:id="0"/>
      <w:r w:rsidR="004A4051">
        <w:rPr>
          <w:rFonts w:ascii="Times New Roman" w:hAnsi="Times New Roman" w:cs="Times New Roman"/>
          <w:sz w:val="24"/>
          <w:szCs w:val="24"/>
        </w:rPr>
        <w:t>o seguinte comportamento reacional, registrado em todas as etapas do protocolo:</w:t>
      </w:r>
    </w:p>
    <w:p w:rsidR="008E04B3" w:rsidRPr="007B71B0" w:rsidRDefault="008E04B3" w:rsidP="008E04B3">
      <w:pPr>
        <w:jc w:val="center"/>
        <w:rPr>
          <w:rFonts w:ascii="Times New Roman" w:hAnsi="Times New Roman" w:cs="Times New Roman"/>
          <w:sz w:val="24"/>
          <w:szCs w:val="24"/>
        </w:rPr>
      </w:pPr>
      <w:bookmarkStart w:id="1" w:name="_Hlk231492344"/>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rsidTr="00CE2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rsidTr="00CE274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[Co(SCN)₂·cocaína]</w:t>
            </w:r>
          </w:p>
        </w:tc>
        <w:tc>
          <w:tcPr>
            <w:tcW w:w="1840" w:type="dxa"/>
          </w:tcPr>
          <w:p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rsidTr="00CE2748">
        <w:trPr>
          <w:trHeight w:val="606"/>
        </w:trPr>
        <w:tc>
          <w:tcPr>
            <w:cnfStyle w:val="001000000000" w:firstRow="0" w:lastRow="0" w:firstColumn="1" w:lastColumn="0" w:oddVBand="0" w:evenVBand="0" w:oddHBand="0" w:evenHBand="0" w:firstRowFirstColumn="0" w:firstRowLastColumn="0" w:lastRowFirstColumn="0" w:lastRowLastColumn="0"/>
            <w:tcW w:w="686" w:type="dxa"/>
          </w:tcPr>
          <w:p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lastRenderedPageBreak/>
              <w:t>a.</w:t>
            </w:r>
          </w:p>
        </w:tc>
        <w:tc>
          <w:tcPr>
            <w:tcW w:w="2147" w:type="dxa"/>
          </w:tcPr>
          <w:p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bookmarkEnd w:id="1"/>
    <w:p w:rsidR="00533532" w:rsidRPr="004622F5" w:rsidRDefault="00533532" w:rsidP="004622F5">
      <w:pPr>
        <w:jc w:val="both"/>
        <w:rPr>
          <w:rFonts w:ascii="Times New Roman" w:hAnsi="Times New Roman" w:cs="Times New Roman"/>
          <w:sz w:val="24"/>
          <w:szCs w:val="24"/>
        </w:rPr>
      </w:pPr>
    </w:p>
    <w:p w:rsidR="00533532" w:rsidRPr="004622F5" w:rsidRDefault="004A4051" w:rsidP="004622F5">
      <w:pPr>
        <w:pStyle w:val="Ttulo2"/>
        <w:spacing w:before="120"/>
        <w:jc w:val="both"/>
        <w:rPr>
          <w:rFonts w:ascii="Times New Roman" w:hAnsi="Times New Roman" w:cs="Times New Roman"/>
          <w:sz w:val="24"/>
          <w:szCs w:val="24"/>
        </w:rPr>
      </w:pPr>
      <w:bookmarkStart w:id="2" w:name="_Hlk231492446"/>
      <w:r>
        <w:rPr>
          <w:rFonts w:ascii="Times New Roman" w:hAnsi="Times New Roman" w:cs="Times New Roman"/>
          <w:sz w:val="24"/>
          <w:szCs w:val="24"/>
        </w:rPr>
        <w:t>3.2   Análise por FTIR-ATR — Item a.</w:t>
      </w:r>
    </w:p>
    <w:p w:rsidR="00FF0001" w:rsidRPr="003217D0" w:rsidRDefault="00A77282" w:rsidP="003217D0">
      <w:pPr>
        <w:pStyle w:val="SemEspaamento"/>
        <w:jc w:val="both"/>
        <w:rPr>
          <w:rFonts w:ascii="Times New Roman" w:hAnsi="Times New Roman" w:cs="Times New Roman"/>
          <w:sz w:val="24"/>
          <w:szCs w:val="24"/>
        </w:rPr>
      </w:pPr>
      <w:r w:rsidRPr="003217D0">
        <w:rPr>
          <w:rFonts w:ascii="Times New Roman" w:hAnsi="Times New Roman" w:cs="Times New Roman"/>
          <w:sz w:val="24"/>
          <w:szCs w:val="24"/>
        </w:rPr>
        <w:t xml:space="preserve">Na análise por FTIR-ATR, o espectro obtido apresentou compatibilidade com o padrão de </w:t>
      </w:r>
      <w:r w:rsidRPr="00C10A9F">
        <w:rPr>
          <w:rFonts w:ascii="Times New Roman" w:hAnsi="Times New Roman" w:cs="Times New Roman"/>
          <w:b/>
          <w:iCs/>
          <w:sz w:val="24"/>
          <w:szCs w:val="24"/>
        </w:rPr>
        <w:t>cocaína base (benzoilmetilecgonina)</w:t>
      </w:r>
      <w:r w:rsidRPr="003217D0">
        <w:rPr>
          <w:rFonts w:ascii="Times New Roman" w:hAnsi="Times New Roman" w:cs="Times New Roman"/>
          <w:sz w:val="24"/>
          <w:szCs w:val="24"/>
        </w:rPr>
        <w:t xml:space="preserve"> em biblioteca de referência (</w:t>
      </w:r>
      <w:r w:rsidRPr="003217D0">
        <w:rPr>
          <w:rFonts w:ascii="Times New Roman" w:hAnsi="Times New Roman" w:cs="Times New Roman"/>
          <w:b/>
          <w:bCs/>
          <w:sz w:val="24"/>
          <w:szCs w:val="24"/>
        </w:rPr>
        <w:t>[BIBLIOTECA]</w:t>
      </w:r>
      <w:r w:rsidRPr="003217D0">
        <w:rPr>
          <w:rFonts w:ascii="Times New Roman" w:hAnsi="Times New Roman" w:cs="Times New Roman"/>
          <w:sz w:val="24"/>
          <w:szCs w:val="24"/>
        </w:rPr>
        <w:t xml:space="preserve">, entrada nº [ENTRADA_NR]) consultada por meio do software </w:t>
      </w:r>
      <w:r w:rsidRPr="003217D0">
        <w:rPr>
          <w:rFonts w:ascii="Times New Roman" w:hAnsi="Times New Roman" w:cs="Times New Roman"/>
          <w:i/>
          <w:iCs/>
          <w:sz w:val="24"/>
          <w:szCs w:val="24"/>
        </w:rPr>
        <w:t>OPUS DrugID Wizard</w:t>
      </w:r>
      <w:r w:rsidRPr="003217D0">
        <w:rPr>
          <w:rFonts w:ascii="Times New Roman" w:hAnsi="Times New Roman" w:cs="Times New Roman"/>
          <w:sz w:val="24"/>
          <w:szCs w:val="24"/>
        </w:rPr>
        <w:t>, com índice de correspondência (</w:t>
      </w:r>
      <w:r w:rsidRPr="003217D0">
        <w:rPr>
          <w:rFonts w:ascii="Times New Roman" w:hAnsi="Times New Roman" w:cs="Times New Roman"/>
          <w:i/>
          <w:iCs/>
          <w:sz w:val="24"/>
          <w:szCs w:val="24"/>
        </w:rPr>
        <w:t>hit quality</w:t>
      </w:r>
      <w:r w:rsidRPr="003217D0">
        <w:rPr>
          <w:rFonts w:ascii="Times New Roman" w:hAnsi="Times New Roman" w:cs="Times New Roman"/>
          <w:sz w:val="24"/>
          <w:szCs w:val="24"/>
        </w:rPr>
        <w:t xml:space="preserve">) de </w:t>
      </w:r>
      <w:r w:rsidRPr="00C10A9F">
        <w:rPr>
          <w:rFonts w:ascii="Times New Roman" w:hAnsi="Times New Roman" w:cs="Times New Roman"/>
          <w:b/>
          <w:bCs/>
          <w:sz w:val="24"/>
          <w:szCs w:val="24"/>
        </w:rPr>
        <w:t>[HIT_QUALITY]</w:t>
      </w:r>
      <w:r w:rsidRPr="00C10A9F">
        <w:rPr>
          <w:rFonts w:ascii="Times New Roman" w:hAnsi="Times New Roman" w:cs="Times New Roman"/>
          <w:b/>
          <w:sz w:val="24"/>
          <w:szCs w:val="24"/>
        </w:rPr>
        <w:t>/1000</w:t>
      </w:r>
      <w:r w:rsidRPr="003217D0">
        <w:rPr>
          <w:rFonts w:ascii="Times New Roman" w:hAnsi="Times New Roman" w:cs="Times New Roman"/>
          <w:sz w:val="24"/>
          <w:szCs w:val="24"/>
        </w:rPr>
        <w:t xml:space="preserve">, arquivo de espectro: </w:t>
      </w:r>
      <w:r w:rsidRPr="003217D0">
        <w:rPr>
          <w:rFonts w:ascii="Times New Roman" w:hAnsi="Times New Roman" w:cs="Times New Roman"/>
          <w:i/>
          <w:iCs/>
          <w:sz w:val="24"/>
          <w:szCs w:val="24"/>
        </w:rPr>
        <w:t>[ARQUIVO_ESP]</w:t>
      </w:r>
      <w:r w:rsidRPr="003217D0">
        <w:rPr>
          <w:rFonts w:ascii="Times New Roman" w:hAnsi="Times New Roman" w:cs="Times New Roman"/>
          <w:sz w:val="24"/>
          <w:szCs w:val="24"/>
        </w:rPr>
        <w:t>, medição real</w:t>
      </w:r>
      <w:r w:rsidRPr="003217D0">
        <w:rPr>
          <w:rFonts w:ascii="Times New Roman" w:hAnsi="Times New Roman" w:cs="Times New Roman"/>
          <w:sz w:val="24"/>
          <w:szCs w:val="24"/>
        </w:rPr>
        <w:t xml:space="preserve">izada em [DATA_ESP]. Observou-se concordância com bandas espectrais diagnósticas atribuíveis à </w:t>
      </w:r>
      <w:r w:rsidRPr="003217D0">
        <w:rPr>
          <w:rFonts w:ascii="Times New Roman" w:hAnsi="Times New Roman" w:cs="Times New Roman"/>
          <w:b/>
          <w:bCs/>
          <w:sz w:val="24"/>
          <w:szCs w:val="24"/>
        </w:rPr>
        <w:t>Cocaína Base — benzoilmetilecgonina</w:t>
      </w:r>
      <w:r w:rsidRPr="003217D0">
        <w:rPr>
          <w:rFonts w:ascii="Times New Roman" w:hAnsi="Times New Roman" w:cs="Times New Roman"/>
          <w:sz w:val="24"/>
          <w:szCs w:val="24"/>
        </w:rPr>
        <w:t xml:space="preserve">, nome IUPAC: </w:t>
      </w:r>
      <w:r w:rsidRPr="003217D0">
        <w:rPr>
          <w:rFonts w:ascii="Times New Roman" w:hAnsi="Times New Roman" w:cs="Times New Roman"/>
          <w:i/>
          <w:iCs/>
          <w:sz w:val="24"/>
          <w:szCs w:val="24"/>
        </w:rPr>
        <w:t>metil (1R,2R,3S,5S)-3-(benzoiloxi)-8-metil-8-azabiciclo[3.2.1]octano-2-carboxilato</w:t>
      </w:r>
      <w:r w:rsidRPr="003217D0">
        <w:rPr>
          <w:rFonts w:ascii="Times New Roman" w:hAnsi="Times New Roman" w:cs="Times New Roman"/>
          <w:sz w:val="24"/>
          <w:szCs w:val="24"/>
        </w:rPr>
        <w:t>. Fórmula molecular</w:t>
      </w:r>
      <w:r w:rsidRPr="003217D0">
        <w:rPr>
          <w:rFonts w:ascii="Times New Roman" w:hAnsi="Times New Roman" w:cs="Times New Roman"/>
          <w:sz w:val="24"/>
          <w:szCs w:val="24"/>
        </w:rPr>
        <w:t>: C₁₇H₂₁NO₄. Peso molecular: 303,4 g/mol. O número de registro CAS 50-36-2 corresponde à cocaína base livre, confirmando tratar-se de cocaína base (crack) e não de cloridrato de cocaína (CAS 53-21-4).</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rsidTr="00CE274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rsidTr="00CE2748">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rsidTr="00CE2748">
        <w:trPr>
          <w:trHeight w:val="206"/>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rsidTr="00CE274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rsidTr="00CE2748">
        <w:trPr>
          <w:trHeight w:val="111"/>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rsidTr="00CE2748">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rsidTr="00CE2748">
        <w:trPr>
          <w:trHeight w:val="404"/>
        </w:trPr>
        <w:tc>
          <w:tcPr>
            <w:cnfStyle w:val="001000000000" w:firstRow="0" w:lastRow="0" w:firstColumn="1" w:lastColumn="0" w:oddVBand="0" w:evenVBand="0" w:oddHBand="0" w:evenHBand="0" w:firstRowFirstColumn="0" w:firstRowLastColumn="0" w:lastRowFirstColumn="0" w:lastRowLastColumn="0"/>
            <w:tcW w:w="1804" w:type="dxa"/>
          </w:tcPr>
          <w:p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rsidR="00533532" w:rsidRDefault="004A4051" w:rsidP="001C73AF">
      <w:pPr>
        <w:spacing w:before="80" w:after="80"/>
        <w:rPr>
          <w:rFonts w:ascii="Times New Roman" w:hAnsi="Times New Roman" w:cs="Times New Roman"/>
          <w:i/>
          <w:iCs/>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rsidR="00C10A9F" w:rsidRPr="00C10A9F" w:rsidRDefault="00C10A9F" w:rsidP="001C73AF">
      <w:pPr>
        <w:spacing w:before="80" w:after="80"/>
        <w:rPr>
          <w:rFonts w:ascii="Times New Roman" w:hAnsi="Times New Roman" w:cs="Times New Roman"/>
          <w:sz w:val="20"/>
          <w:szCs w:val="20"/>
        </w:rPr>
      </w:pPr>
      <w:r>
        <w:rPr>
          <w:noProof/>
        </w:rPr>
        <w:drawing>
          <wp:anchor distT="0" distB="0" distL="114300" distR="114300" simplePos="0" relativeHeight="251660288" behindDoc="0" locked="0" layoutInCell="1" allowOverlap="1" wp14:anchorId="33F5CD09" wp14:editId="77C79374">
            <wp:simplePos x="0" y="0"/>
            <wp:positionH relativeFrom="margin">
              <wp:posOffset>3712740</wp:posOffset>
            </wp:positionH>
            <wp:positionV relativeFrom="paragraph">
              <wp:posOffset>261620</wp:posOffset>
            </wp:positionV>
            <wp:extent cx="2292350" cy="1208445"/>
            <wp:effectExtent l="0" t="0" r="0" b="0"/>
            <wp:wrapNone/>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2624"/>
                    <a:stretch/>
                  </pic:blipFill>
                  <pic:spPr bwMode="auto">
                    <a:xfrm>
                      <a:off x="0" y="0"/>
                      <a:ext cx="2292350" cy="1208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10A9F">
        <w:rPr>
          <w:rFonts w:ascii="Times New Roman" w:hAnsi="Times New Roman" w:cs="Times New Roman"/>
          <w:sz w:val="20"/>
          <w:szCs w:val="20"/>
        </w:rPr>
        <w:drawing>
          <wp:inline distT="0" distB="0" distL="0" distR="0" wp14:anchorId="3E70CA64" wp14:editId="081144E9">
            <wp:extent cx="6120130" cy="2639060"/>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639060"/>
                    </a:xfrm>
                    <a:prstGeom prst="rect">
                      <a:avLst/>
                    </a:prstGeom>
                  </pic:spPr>
                </pic:pic>
              </a:graphicData>
            </a:graphic>
          </wp:inline>
        </w:drawing>
      </w:r>
    </w:p>
    <w:p w:rsidR="007A6772" w:rsidRDefault="00C10A9F" w:rsidP="008C0A13">
      <w:pPr>
        <w:spacing w:before="80" w:after="80"/>
        <w:jc w:val="both"/>
        <w:rPr>
          <w:rFonts w:ascii="Times New Roman" w:hAnsi="Times New Roman" w:cs="Times New Roman"/>
          <w:i/>
          <w:iCs/>
          <w:sz w:val="20"/>
          <w:szCs w:val="20"/>
        </w:rPr>
      </w:pPr>
      <w:r w:rsidRPr="00C10A9F">
        <w:rPr>
          <w:rStyle w:val="Forte"/>
          <w:rFonts w:ascii="Times New Roman" w:hAnsi="Times New Roman" w:cs="Times New Roman"/>
          <w:b w:val="0"/>
          <w:i/>
          <w:sz w:val="20"/>
          <w:szCs w:val="20"/>
        </w:rPr>
        <w:t>Figura 2</w:t>
      </w:r>
      <w:r w:rsidRPr="00C10A9F">
        <w:rPr>
          <w:rStyle w:val="Forte"/>
          <w:rFonts w:ascii="Times New Roman" w:hAnsi="Times New Roman" w:cs="Times New Roman"/>
          <w:i/>
          <w:sz w:val="20"/>
          <w:szCs w:val="20"/>
        </w:rPr>
        <w:t>.</w:t>
      </w:r>
      <w:r w:rsidRPr="00C10A9F">
        <w:rPr>
          <w:rFonts w:ascii="Times New Roman" w:hAnsi="Times New Roman" w:cs="Times New Roman"/>
          <w:i/>
          <w:sz w:val="20"/>
          <w:szCs w:val="20"/>
        </w:rPr>
        <w:t xml:space="preserve"> Espectro de absorção no infravermelho médio obtido por FTIR-ATR (vermelho, superior) e espectro de referência da biblioteca [BIBLIOTECA] — entrada nº [ENTRADA_NR] (azul, inferior). A sobreposição evidencia concordância das bandas diagnósticas atribuíveis à </w:t>
      </w:r>
      <w:r w:rsidRPr="00C10A9F">
        <w:rPr>
          <w:rStyle w:val="Forte"/>
          <w:rFonts w:ascii="Times New Roman" w:hAnsi="Times New Roman" w:cs="Times New Roman"/>
          <w:b w:val="0"/>
          <w:i/>
          <w:sz w:val="20"/>
          <w:szCs w:val="20"/>
        </w:rPr>
        <w:t xml:space="preserve">Cocaína Base — </w:t>
      </w:r>
      <w:proofErr w:type="spellStart"/>
      <w:r w:rsidRPr="00C10A9F">
        <w:rPr>
          <w:rStyle w:val="Forte"/>
          <w:rFonts w:ascii="Times New Roman" w:hAnsi="Times New Roman" w:cs="Times New Roman"/>
          <w:b w:val="0"/>
          <w:i/>
          <w:sz w:val="20"/>
          <w:szCs w:val="20"/>
        </w:rPr>
        <w:t>Benzoilmetilecgonina</w:t>
      </w:r>
      <w:proofErr w:type="spellEnd"/>
      <w:r w:rsidRPr="00C10A9F">
        <w:rPr>
          <w:rFonts w:ascii="Times New Roman" w:hAnsi="Times New Roman" w:cs="Times New Roman"/>
          <w:i/>
          <w:sz w:val="20"/>
          <w:szCs w:val="20"/>
        </w:rPr>
        <w:t xml:space="preserve"> (C₁₇H₂₁NO₄; PM 303,</w:t>
      </w:r>
      <w:r w:rsidR="008C0A13">
        <w:rPr>
          <w:rFonts w:ascii="Times New Roman" w:hAnsi="Times New Roman" w:cs="Times New Roman"/>
          <w:i/>
          <w:sz w:val="20"/>
          <w:szCs w:val="20"/>
        </w:rPr>
        <w:t>4</w:t>
      </w:r>
      <w:r w:rsidRPr="00C10A9F">
        <w:rPr>
          <w:rFonts w:ascii="Times New Roman" w:hAnsi="Times New Roman" w:cs="Times New Roman"/>
          <w:i/>
          <w:sz w:val="20"/>
          <w:szCs w:val="20"/>
        </w:rPr>
        <w:t xml:space="preserve"> g/mol; CAS 50-36-2)</w:t>
      </w:r>
      <w:r w:rsidR="008C0A13">
        <w:rPr>
          <w:rFonts w:ascii="Times New Roman" w:hAnsi="Times New Roman" w:cs="Times New Roman"/>
          <w:i/>
          <w:sz w:val="20"/>
          <w:szCs w:val="20"/>
        </w:rPr>
        <w:t xml:space="preserve"> e sua e</w:t>
      </w:r>
      <w:r w:rsidR="00E57B80" w:rsidRPr="00291605">
        <w:rPr>
          <w:rFonts w:ascii="Times New Roman" w:hAnsi="Times New Roman" w:cs="Times New Roman"/>
          <w:i/>
          <w:iCs/>
          <w:sz w:val="20"/>
          <w:szCs w:val="20"/>
        </w:rPr>
        <w:t>strutura química</w:t>
      </w:r>
      <w:r w:rsidR="008C0A13">
        <w:rPr>
          <w:rFonts w:ascii="Times New Roman" w:hAnsi="Times New Roman" w:cs="Times New Roman"/>
          <w:i/>
          <w:iCs/>
          <w:sz w:val="20"/>
          <w:szCs w:val="20"/>
        </w:rPr>
        <w:t>.</w:t>
      </w:r>
    </w:p>
    <w:p w:rsidR="00254002" w:rsidRPr="00291605" w:rsidRDefault="00254002" w:rsidP="008C0A13">
      <w:pPr>
        <w:spacing w:before="80" w:after="80"/>
        <w:jc w:val="both"/>
        <w:rPr>
          <w:rFonts w:ascii="Times New Roman" w:hAnsi="Times New Roman" w:cs="Times New Roman"/>
          <w:i/>
          <w:iCs/>
          <w:sz w:val="20"/>
          <w:szCs w:val="20"/>
        </w:rPr>
      </w:pPr>
      <w:bookmarkStart w:id="3" w:name="_GoBack"/>
      <w:bookmarkEnd w:id="3"/>
    </w:p>
    <w:bookmarkEnd w:id="2"/>
    <w:p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rsidR="00533532" w:rsidRPr="00B043CE" w:rsidRDefault="00533532">
      <w:pPr>
        <w:rPr>
          <w:rFonts w:ascii="Times New Roman" w:hAnsi="Times New Roman" w:cs="Times New Roman"/>
          <w:sz w:val="24"/>
          <w:szCs w:val="24"/>
        </w:rPr>
      </w:pPr>
      <w:bookmarkStart w:id="4" w:name="_Hlk231493053"/>
    </w:p>
    <w:tbl>
      <w:tblPr>
        <w:tblStyle w:val="TabeladeGrade4-nfase1"/>
        <w:tblW w:w="9638" w:type="dxa"/>
        <w:tblLook w:val="04A0" w:firstRow="1" w:lastRow="0" w:firstColumn="1" w:lastColumn="0" w:noHBand="0" w:noVBand="1"/>
      </w:tblPr>
      <w:tblGrid>
        <w:gridCol w:w="9638"/>
      </w:tblGrid>
      <w:tr w:rsidR="00533532" w:rsidRPr="00B043CE"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rsidR="00533532" w:rsidRPr="002E3AB8" w:rsidRDefault="004A4051" w:rsidP="001D12DE">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no material sólido amarelo analisado</w:t>
            </w:r>
            <w:r w:rsidRPr="002E3AB8">
              <w:rPr>
                <w:rFonts w:ascii="Times New Roman" w:hAnsi="Times New Roman" w:cs="Times New Roman"/>
                <w:b w:val="0"/>
                <w:bCs w:val="0"/>
                <w:sz w:val="24"/>
                <w:szCs w:val="24"/>
              </w:rPr>
              <w:t>.</w:t>
            </w:r>
          </w:p>
          <w:p w:rsidR="00533532" w:rsidRPr="002E3AB8" w:rsidRDefault="00533532" w:rsidP="001D12DE">
            <w:pPr>
              <w:rPr>
                <w:rFonts w:ascii="Times New Roman" w:hAnsi="Times New Roman" w:cs="Times New Roman"/>
                <w:b w:val="0"/>
                <w:bCs w:val="0"/>
                <w:sz w:val="24"/>
                <w:szCs w:val="24"/>
              </w:rPr>
            </w:pPr>
          </w:p>
          <w:p w:rsidR="00533532" w:rsidRPr="00B043CE" w:rsidRDefault="004A4051" w:rsidP="001D12DE">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rsidR="00533532" w:rsidRPr="00B043CE" w:rsidRDefault="00533532">
      <w:pPr>
        <w:rPr>
          <w:rFonts w:ascii="Times New Roman" w:hAnsi="Times New Roman" w:cs="Times New Roman"/>
          <w:sz w:val="24"/>
          <w:szCs w:val="24"/>
        </w:rPr>
      </w:pPr>
    </w:p>
    <w:bookmarkEnd w:id="4"/>
    <w:p w:rsidR="00876B22" w:rsidRPr="00B043CE" w:rsidRDefault="00876B22" w:rsidP="00876B22">
      <w:pPr>
        <w:rPr>
          <w:sz w:val="24"/>
          <w:szCs w:val="24"/>
        </w:rPr>
      </w:pPr>
    </w:p>
    <w:p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rsidR="00533532" w:rsidRPr="00C371C9" w:rsidRDefault="00F96003"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1ª </w:t>
            </w:r>
            <w:r w:rsidR="004A4051">
              <w:rPr>
                <w:rFonts w:ascii="Times New Roman" w:hAnsi="Times New Roman" w:cs="Times New Roman"/>
                <w:sz w:val="20"/>
                <w:szCs w:val="20"/>
              </w:rPr>
              <w:t xml:space="preserve">SECCIONAL PARNAÍBA </w:t>
            </w:r>
            <w:r>
              <w:rPr>
                <w:rFonts w:ascii="Times New Roman" w:hAnsi="Times New Roman" w:cs="Times New Roman"/>
                <w:sz w:val="20"/>
                <w:szCs w:val="20"/>
              </w:rPr>
              <w:t xml:space="preserve">– </w:t>
            </w:r>
            <w:r w:rsidR="004A4051">
              <w:rPr>
                <w:rFonts w:ascii="Times New Roman" w:hAnsi="Times New Roman" w:cs="Times New Roman"/>
                <w:sz w:val="20"/>
                <w:szCs w:val="20"/>
              </w:rPr>
              <w:t xml:space="preserve">CENTRAL DE FLAGRANTES </w:t>
            </w:r>
            <w:r>
              <w:rPr>
                <w:rFonts w:ascii="Times New Roman" w:hAnsi="Times New Roman" w:cs="Times New Roman"/>
                <w:sz w:val="20"/>
                <w:szCs w:val="20"/>
              </w:rPr>
              <w:t>(</w:t>
            </w:r>
            <w:r w:rsidR="004A4051">
              <w:rPr>
                <w:rFonts w:ascii="Times New Roman" w:hAnsi="Times New Roman" w:cs="Times New Roman"/>
                <w:sz w:val="20"/>
                <w:szCs w:val="20"/>
              </w:rPr>
              <w:t>AISP I</w:t>
            </w:r>
            <w:r>
              <w:rPr>
                <w:rFonts w:ascii="Times New Roman" w:hAnsi="Times New Roman" w:cs="Times New Roman"/>
                <w:sz w:val="20"/>
                <w:szCs w:val="20"/>
              </w:rPr>
              <w:t xml:space="preserve">, </w:t>
            </w:r>
            <w:r w:rsidR="004A4051">
              <w:rPr>
                <w:rFonts w:ascii="Times New Roman" w:hAnsi="Times New Roman" w:cs="Times New Roman"/>
                <w:sz w:val="20"/>
                <w:szCs w:val="20"/>
              </w:rPr>
              <w:t>II E III</w:t>
            </w:r>
            <w:r>
              <w:rPr>
                <w:rFonts w:ascii="Times New Roman" w:hAnsi="Times New Roman" w:cs="Times New Roman"/>
                <w:sz w:val="20"/>
                <w:szCs w:val="20"/>
              </w:rPr>
              <w:t xml:space="preserve">) – </w:t>
            </w:r>
            <w:r w:rsidR="004A4051">
              <w:rPr>
                <w:rFonts w:ascii="Times New Roman" w:hAnsi="Times New Roman" w:cs="Times New Roman"/>
                <w:sz w:val="20"/>
                <w:szCs w:val="20"/>
              </w:rPr>
              <w:t>PARNAÍBA</w:t>
            </w:r>
            <w:r>
              <w:rPr>
                <w:rFonts w:ascii="Times New Roman" w:hAnsi="Times New Roman" w:cs="Times New Roman"/>
                <w:sz w:val="20"/>
                <w:szCs w:val="20"/>
              </w:rPr>
              <w:t>/</w:t>
            </w:r>
            <w:r w:rsidR="004A4051">
              <w:rPr>
                <w:rFonts w:ascii="Times New Roman" w:hAnsi="Times New Roman" w:cs="Times New Roman"/>
                <w:sz w:val="20"/>
                <w:szCs w:val="20"/>
              </w:rPr>
              <w:t>PI</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POLÍCIA CIVIL DO PIAUÍ </w:t>
            </w:r>
            <w:r w:rsidR="00F96003">
              <w:rPr>
                <w:rFonts w:ascii="Times New Roman" w:hAnsi="Times New Roman" w:cs="Times New Roman"/>
                <w:sz w:val="20"/>
                <w:szCs w:val="20"/>
              </w:rPr>
              <w:t xml:space="preserve">– 2ª </w:t>
            </w:r>
            <w:r>
              <w:rPr>
                <w:rFonts w:ascii="Times New Roman" w:hAnsi="Times New Roman" w:cs="Times New Roman"/>
                <w:sz w:val="20"/>
                <w:szCs w:val="20"/>
              </w:rPr>
              <w:t xml:space="preserve">DIVISÃO DE REPRESSÃO E COMBATE AO TRÁFICO DE DROGAS </w:t>
            </w:r>
            <w:r w:rsidR="00F96003">
              <w:rPr>
                <w:rFonts w:ascii="Times New Roman" w:hAnsi="Times New Roman" w:cs="Times New Roman"/>
                <w:sz w:val="20"/>
                <w:szCs w:val="20"/>
              </w:rPr>
              <w:t xml:space="preserve">– </w:t>
            </w:r>
            <w:r>
              <w:rPr>
                <w:rFonts w:ascii="Times New Roman" w:hAnsi="Times New Roman" w:cs="Times New Roman"/>
                <w:sz w:val="20"/>
                <w:szCs w:val="20"/>
              </w:rPr>
              <w:t>PARNAÍBA</w:t>
            </w:r>
            <w:r w:rsidR="00F96003">
              <w:rPr>
                <w:rFonts w:ascii="Times New Roman" w:hAnsi="Times New Roman" w:cs="Times New Roman"/>
                <w:sz w:val="20"/>
                <w:szCs w:val="20"/>
              </w:rPr>
              <w:t>/</w:t>
            </w:r>
            <w:r>
              <w:rPr>
                <w:rFonts w:ascii="Times New Roman" w:hAnsi="Times New Roman" w:cs="Times New Roman"/>
                <w:sz w:val="20"/>
                <w:szCs w:val="20"/>
              </w:rPr>
              <w:t>PI</w:t>
            </w:r>
          </w:p>
        </w:tc>
      </w:tr>
    </w:tbl>
    <w:p w:rsidR="00533532" w:rsidRPr="00C371C9" w:rsidRDefault="00533532" w:rsidP="00C371C9">
      <w:pPr>
        <w:rPr>
          <w:rFonts w:ascii="Times New Roman" w:hAnsi="Times New Roman" w:cs="Times New Roman"/>
        </w:rPr>
      </w:pPr>
    </w:p>
    <w:p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E2748">
              <w:rPr>
                <w:rFonts w:ascii="Times New Roman" w:hAnsi="Times New Roman" w:cs="Times New Roman"/>
                <w:sz w:val="20"/>
                <w:szCs w:val="20"/>
              </w:rPr>
              <w:t>[ENV_ENTRADA]</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rsidR="00533532" w:rsidRPr="00D8087A" w:rsidRDefault="00D8087A"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8087A">
              <w:rPr>
                <w:rFonts w:ascii="Times New Roman" w:hAnsi="Times New Roman" w:cs="Times New Roman"/>
                <w:sz w:val="20"/>
                <w:szCs w:val="20"/>
              </w:rPr>
              <w:t>[DEMANDA_PRELIM]</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rsidR="00533532" w:rsidRPr="00D8087A" w:rsidRDefault="00D8087A"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8087A">
              <w:rPr>
                <w:rFonts w:ascii="Times New Roman" w:hAnsi="Times New Roman" w:cs="Times New Roman"/>
                <w:sz w:val="20"/>
                <w:szCs w:val="20"/>
              </w:rPr>
              <w:t>[ENV_POS_PRELIM]</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320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rsidR="00533532" w:rsidRPr="00C371C9" w:rsidRDefault="00533532" w:rsidP="00C371C9">
      <w:pPr>
        <w:rPr>
          <w:rFonts w:ascii="Times New Roman" w:hAnsi="Times New Roman" w:cs="Times New Roman"/>
        </w:rPr>
      </w:pPr>
    </w:p>
    <w:p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amarelo (item a.)</w:t>
            </w:r>
          </w:p>
        </w:tc>
      </w:tr>
      <w:tr w:rsidR="00533532" w:rsidRPr="00C371C9" w:rsidTr="00CE2748">
        <w:tc>
          <w:tcPr>
            <w:cnfStyle w:val="001000000000" w:firstRow="0" w:lastRow="0" w:firstColumn="1" w:lastColumn="0" w:oddVBand="0" w:evenVBand="0" w:oddHBand="0" w:evenHBand="0" w:firstRowFirstColumn="0" w:firstRowLastColumn="0" w:lastRowFirstColumn="0" w:lastRowLastColumn="0"/>
            <w:tcW w:w="283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533532" w:rsidRPr="00C371C9"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8E12E4" w:rsidRPr="00C371C9" w:rsidTr="00CE2748">
        <w:tc>
          <w:tcPr>
            <w:cnfStyle w:val="001000000000" w:firstRow="0" w:lastRow="0" w:firstColumn="1" w:lastColumn="0" w:oddVBand="0" w:evenVBand="0" w:oddHBand="0" w:evenHBand="0" w:firstRowFirstColumn="0" w:firstRowLastColumn="0" w:lastRowFirstColumn="0" w:lastRowLastColumn="0"/>
            <w:tcW w:w="2830" w:type="dxa"/>
          </w:tcPr>
          <w:p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rsidR="00533532" w:rsidRPr="00C371C9" w:rsidRDefault="00533532" w:rsidP="00C371C9">
      <w:pPr>
        <w:rPr>
          <w:rFonts w:ascii="Times New Roman" w:hAnsi="Times New Roman" w:cs="Times New Roman"/>
        </w:rPr>
      </w:pPr>
    </w:p>
    <w:p w:rsidR="00533532" w:rsidRPr="00C371C9" w:rsidRDefault="004A4051" w:rsidP="00C371C9">
      <w:pPr>
        <w:pStyle w:val="Ttulo1"/>
        <w:rPr>
          <w:rFonts w:ascii="Times New Roman" w:hAnsi="Times New Roman" w:cs="Times New Roman"/>
        </w:rPr>
      </w:pPr>
      <w:r>
        <w:rPr>
          <w:rFonts w:ascii="Times New Roman" w:hAnsi="Times New Roman" w:cs="Times New Roman"/>
        </w:rPr>
        <w:lastRenderedPageBreak/>
        <w:t>6.   REFERÊNCIAS BIBLIOGRÁFICAS</w:t>
      </w:r>
    </w:p>
    <w:p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w:t>
      </w:r>
      <w:proofErr w:type="spellStart"/>
      <w:r>
        <w:rPr>
          <w:rFonts w:ascii="Times New Roman" w:eastAsia="Times New Roman" w:hAnsi="Times New Roman" w:cs="Times New Roman"/>
          <w:sz w:val="16"/>
          <w:szCs w:val="16"/>
        </w:rPr>
        <w:t>Cannabis</w:t>
      </w:r>
      <w:proofErr w:type="spellEnd"/>
      <w:r>
        <w:rPr>
          <w:rFonts w:ascii="Times New Roman" w:eastAsia="Times New Roman" w:hAnsi="Times New Roman" w:cs="Times New Roman"/>
          <w:sz w:val="16"/>
          <w:szCs w:val="16"/>
        </w:rPr>
        <w:t xml:space="preserve"> sativa L.). Química Nova, São Paulo, v. 35, n. 10, p. 2040–2043, 2012.</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CASALE, J. F. et al. Four new illicit cocaine impurities from the oxidation of crude cocaine base: formation and characterization of the diastereomeric 2,3-dihydroxy-3-phenylpropionylecgonine methyl esters from </w:t>
      </w:r>
      <w:proofErr w:type="spellStart"/>
      <w:r>
        <w:rPr>
          <w:rFonts w:ascii="Times New Roman" w:hAnsi="Times New Roman" w:cs="Times New Roman"/>
          <w:sz w:val="16"/>
          <w:szCs w:val="16"/>
          <w:lang w:val="en-US"/>
        </w:rPr>
        <w:t>cis</w:t>
      </w:r>
      <w:proofErr w:type="spellEnd"/>
      <w:r>
        <w:rPr>
          <w:rFonts w:ascii="Times New Roman" w:hAnsi="Times New Roman" w:cs="Times New Roman"/>
          <w:sz w:val="16"/>
          <w:szCs w:val="16"/>
          <w:lang w:val="en-US"/>
        </w:rPr>
        <w:t>-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rsidR="00CC0001" w:rsidRDefault="00A77282">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w:t>
      </w:r>
      <w:r>
        <w:rPr>
          <w:rFonts w:ascii="Times New Roman" w:hAnsi="Times New Roman" w:cs="Times New Roman"/>
          <w:sz w:val="16"/>
          <w:szCs w:val="16"/>
        </w:rPr>
        <w:t>021. SEI nº 2393293.</w:t>
      </w:r>
    </w:p>
    <w:p w:rsidR="00CC0001" w:rsidRDefault="00A77282">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rsidR="00CC0001" w:rsidRDefault="00A77282">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w:t>
      </w:r>
      <w:r>
        <w:rPr>
          <w:rFonts w:ascii="Times New Roman" w:hAnsi="Times New Roman" w:cs="Times New Roman"/>
          <w:sz w:val="16"/>
          <w:szCs w:val="16"/>
        </w:rPr>
        <w:t>UÍ. Departamento de Polícia Científica. ITU-01/2024/CCV-DEPOC, de 21 de outubro de 2024. Instrução Técnica sobre embalagens-padrão rastreáveis e formulário de avaliação de vestígios (FAV). Teresina: DEPOC/PC-PI, 2024.</w:t>
      </w:r>
    </w:p>
    <w:p w:rsidR="003D599E" w:rsidRPr="00C371C9" w:rsidRDefault="003D599E" w:rsidP="00C371C9">
      <w:pPr>
        <w:pStyle w:val="PargrafodaLista"/>
        <w:spacing w:before="40" w:after="60"/>
        <w:ind w:left="567"/>
        <w:jc w:val="both"/>
        <w:rPr>
          <w:rFonts w:ascii="Times New Roman" w:hAnsi="Times New Roman" w:cs="Times New Roman"/>
          <w:sz w:val="24"/>
          <w:szCs w:val="24"/>
        </w:rPr>
      </w:pPr>
    </w:p>
    <w:p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F96003">
        <w:rPr>
          <w:rFonts w:ascii="Times New Roman" w:hAnsi="Times New Roman" w:cs="Times New Roman"/>
          <w:b/>
          <w:bCs/>
          <w:sz w:val="24"/>
          <w:szCs w:val="24"/>
        </w:rPr>
        <w:t>7</w:t>
      </w:r>
      <w:r>
        <w:rPr>
          <w:rFonts w:ascii="Times New Roman" w:hAnsi="Times New Roman" w:cs="Times New Roman"/>
          <w:sz w:val="24"/>
          <w:szCs w:val="24"/>
        </w:rPr>
        <w:t xml:space="preserve"> página(s), segue assinado pelo seu relator.</w:t>
      </w:r>
    </w:p>
    <w:p w:rsidR="00533532" w:rsidRPr="00C371C9" w:rsidRDefault="00533532" w:rsidP="00C371C9">
      <w:pPr>
        <w:jc w:val="both"/>
        <w:rPr>
          <w:rFonts w:ascii="Times New Roman" w:hAnsi="Times New Roman" w:cs="Times New Roman"/>
          <w:sz w:val="24"/>
          <w:szCs w:val="24"/>
        </w:rPr>
      </w:pPr>
    </w:p>
    <w:p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4"/>
      <w:headerReference w:type="first" r:id="rId15"/>
      <w:footerReference w:type="first" r:id="rId16"/>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282" w:rsidRDefault="00A77282">
      <w:r>
        <w:separator/>
      </w:r>
    </w:p>
  </w:endnote>
  <w:endnote w:type="continuationSeparator" w:id="0">
    <w:p w:rsidR="00A77282" w:rsidRDefault="00A77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282" w:rsidRDefault="00A77282">
      <w:r>
        <w:separator/>
      </w:r>
    </w:p>
  </w:footnote>
  <w:footnote w:type="continuationSeparator" w:id="0">
    <w:p w:rsidR="00A77282" w:rsidRDefault="00A77282">
      <w:r>
        <w:continuationSeparator/>
      </w:r>
    </w:p>
  </w:footnote>
  <w:footnote w:id="1">
    <w:p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rsidR="008E04B3" w:rsidRPr="00E61541"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1D12DE">
        <w:rPr>
          <w:rFonts w:ascii="Times New Roman" w:hAnsi="Times New Roman" w:cs="Times New Roman"/>
          <w:sz w:val="16"/>
          <w:szCs w:val="16"/>
          <w:lang w:val="en-US"/>
        </w:rPr>
        <w:t xml:space="preserve">J. Braz. </w:t>
      </w:r>
      <w:r w:rsidRPr="00E61541">
        <w:rPr>
          <w:rFonts w:ascii="Times New Roman" w:hAnsi="Times New Roman" w:cs="Times New Roman"/>
          <w:sz w:val="16"/>
          <w:szCs w:val="16"/>
          <w:lang w:val="en-US"/>
        </w:rPr>
        <w:t>Chem. Soc., v. 24, n. 3, p. 507–517, 2013.</w:t>
      </w:r>
    </w:p>
  </w:footnote>
  <w:footnote w:id="3">
    <w:p w:rsidR="003217D0" w:rsidRPr="00E61541" w:rsidRDefault="003217D0" w:rsidP="003217D0">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003217D0">
      <w:rPr>
        <w:rFonts w:ascii="Times New Roman" w:hAnsi="Times New Roman" w:cs="Times New Roman"/>
        <w:b/>
        <w:bCs/>
        <w:sz w:val="20"/>
        <w:szCs w:val="20"/>
      </w:rPr>
      <w:t>00149129-18</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254002">
      <w:rPr>
        <w:rFonts w:ascii="Times New Roman" w:hAnsi="Times New Roman" w:cs="Times New Roman"/>
        <w:b/>
        <w:bCs/>
        <w:noProof/>
        <w:sz w:val="20"/>
        <w:szCs w:val="20"/>
      </w:rPr>
      <w:t>6</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254002">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rsidR="008E04B3" w:rsidRDefault="008E04B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rsidTr="008E04B3">
      <w:tc>
        <w:tcPr>
          <w:tcW w:w="1110" w:type="dxa"/>
          <w:vAlign w:val="center"/>
          <w:hideMark/>
        </w:tcPr>
        <w:p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rsidR="008E04B3" w:rsidRPr="008F170F" w:rsidRDefault="00A77282"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rsidR="008E04B3" w:rsidRPr="008F170F" w:rsidRDefault="008E04B3" w:rsidP="00572A17">
          <w:pPr>
            <w:pStyle w:val="Contedodatabela"/>
            <w:ind w:left="-79"/>
            <w:rPr>
              <w:rFonts w:cs="Times New Roman"/>
            </w:rPr>
          </w:pPr>
        </w:p>
      </w:tc>
    </w:tr>
  </w:tbl>
  <w:p w:rsidR="008E04B3" w:rsidRDefault="008E04B3" w:rsidP="00572A17">
    <w:pPr>
      <w:pStyle w:val="Cabealho"/>
      <w:pBdr>
        <w:bottom w:val="single" w:sz="12" w:space="1" w:color="auto"/>
      </w:pBdr>
    </w:pPr>
  </w:p>
  <w:p w:rsidR="008E04B3" w:rsidRPr="00572A17" w:rsidRDefault="008E04B3" w:rsidP="00572A1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532"/>
    <w:rsid w:val="00046E70"/>
    <w:rsid w:val="00082568"/>
    <w:rsid w:val="000A1E4A"/>
    <w:rsid w:val="000C2AA8"/>
    <w:rsid w:val="000F7D23"/>
    <w:rsid w:val="00170E58"/>
    <w:rsid w:val="001C73AF"/>
    <w:rsid w:val="001D12DE"/>
    <w:rsid w:val="002067E9"/>
    <w:rsid w:val="002307C0"/>
    <w:rsid w:val="00234E3F"/>
    <w:rsid w:val="00254002"/>
    <w:rsid w:val="00256A8B"/>
    <w:rsid w:val="00265B1A"/>
    <w:rsid w:val="00273609"/>
    <w:rsid w:val="00291605"/>
    <w:rsid w:val="00296B30"/>
    <w:rsid w:val="002E3AB8"/>
    <w:rsid w:val="00310CED"/>
    <w:rsid w:val="00314F35"/>
    <w:rsid w:val="003163DA"/>
    <w:rsid w:val="003217D0"/>
    <w:rsid w:val="003510F6"/>
    <w:rsid w:val="003974C7"/>
    <w:rsid w:val="003C180D"/>
    <w:rsid w:val="003D599E"/>
    <w:rsid w:val="00421636"/>
    <w:rsid w:val="004622F5"/>
    <w:rsid w:val="0049780B"/>
    <w:rsid w:val="004A4051"/>
    <w:rsid w:val="004F5D08"/>
    <w:rsid w:val="00533532"/>
    <w:rsid w:val="00572A17"/>
    <w:rsid w:val="00584034"/>
    <w:rsid w:val="005961D0"/>
    <w:rsid w:val="006F7F4D"/>
    <w:rsid w:val="007027B5"/>
    <w:rsid w:val="00772C5B"/>
    <w:rsid w:val="007A5982"/>
    <w:rsid w:val="007A6772"/>
    <w:rsid w:val="007B71B0"/>
    <w:rsid w:val="007D4CBD"/>
    <w:rsid w:val="00854A9C"/>
    <w:rsid w:val="00876B22"/>
    <w:rsid w:val="008C0A13"/>
    <w:rsid w:val="008E04B3"/>
    <w:rsid w:val="008E12E4"/>
    <w:rsid w:val="00900151"/>
    <w:rsid w:val="00922E5D"/>
    <w:rsid w:val="00956B3E"/>
    <w:rsid w:val="00966958"/>
    <w:rsid w:val="009F19ED"/>
    <w:rsid w:val="00A05F41"/>
    <w:rsid w:val="00A77282"/>
    <w:rsid w:val="00AE7993"/>
    <w:rsid w:val="00B043CE"/>
    <w:rsid w:val="00B63C3B"/>
    <w:rsid w:val="00B674A3"/>
    <w:rsid w:val="00B75828"/>
    <w:rsid w:val="00BF5F05"/>
    <w:rsid w:val="00C10A9F"/>
    <w:rsid w:val="00C223E1"/>
    <w:rsid w:val="00C238E6"/>
    <w:rsid w:val="00C371C9"/>
    <w:rsid w:val="00C41329"/>
    <w:rsid w:val="00CC7810"/>
    <w:rsid w:val="00CE1DD4"/>
    <w:rsid w:val="00CE2748"/>
    <w:rsid w:val="00CE519A"/>
    <w:rsid w:val="00D10E0A"/>
    <w:rsid w:val="00D75474"/>
    <w:rsid w:val="00D8087A"/>
    <w:rsid w:val="00DB2058"/>
    <w:rsid w:val="00DE5B60"/>
    <w:rsid w:val="00E57B80"/>
    <w:rsid w:val="00E61541"/>
    <w:rsid w:val="00E6228B"/>
    <w:rsid w:val="00E74FC0"/>
    <w:rsid w:val="00EB22AF"/>
    <w:rsid w:val="00EF72B4"/>
    <w:rsid w:val="00F07CCF"/>
    <w:rsid w:val="00F96003"/>
    <w:rsid w:val="00FB7702"/>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2608</Words>
  <Characters>14087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6</cp:revision>
  <dcterms:created xsi:type="dcterms:W3CDTF">2026-06-06T13:10:00Z</dcterms:created>
  <dcterms:modified xsi:type="dcterms:W3CDTF">2026-06-15T19:15:00Z</dcterms:modified>
</cp:coreProperties>
</file>