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60252"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1CF3B7B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4CDBBC99" w14:textId="77777777" w:rsidR="002307C0" w:rsidRPr="00170E58" w:rsidRDefault="002307C0" w:rsidP="002307C0">
      <w:pPr>
        <w:rPr>
          <w:rFonts w:ascii="Times New Roman" w:hAnsi="Times New Roman" w:cs="Times New Roman"/>
          <w:sz w:val="24"/>
          <w:szCs w:val="24"/>
        </w:rPr>
      </w:pPr>
    </w:p>
    <w:p w14:paraId="24DF209C"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EF2D12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644E556D" w14:textId="77777777" w:rsidR="002307C0" w:rsidRPr="00170E58" w:rsidRDefault="002307C0" w:rsidP="00296B30">
      <w:pPr>
        <w:pStyle w:val="SemEspaamento"/>
      </w:pPr>
    </w:p>
    <w:p w14:paraId="2C302066" w14:textId="2396AAB5" w:rsidR="00533532" w:rsidRPr="00170E58" w:rsidRDefault="000D07D6"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sidRPr="001E7969">
        <w:rPr>
          <w:rFonts w:ascii="Times New Roman" w:hAnsi="Times New Roman" w:cs="Times New Roman"/>
          <w:sz w:val="24"/>
          <w:szCs w:val="24"/>
        </w:rPr>
        <w:t>DEPARTAMENTO DE POLÍCIA CIENTÍFICA da 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sidRPr="000D07D6">
        <w:rPr>
          <w:rFonts w:ascii="Times New Roman" w:hAnsi="Times New Roman" w:cs="Times New Roman"/>
          <w:sz w:val="24"/>
          <w:szCs w:val="24"/>
        </w:rPr>
        <w:t>[DD] de [MÊS] de [ANO]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sidRPr="001E7969">
        <w:rPr>
          <w:rFonts w:ascii="Times New Roman" w:hAnsi="Times New Roman" w:cs="Times New Roman"/>
          <w:b/>
          <w:bCs/>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4D57AED0" w14:textId="77777777" w:rsidR="00533532" w:rsidRPr="00170E58" w:rsidRDefault="00533532" w:rsidP="00296B30">
      <w:pPr>
        <w:pStyle w:val="SemEspaamento"/>
      </w:pPr>
    </w:p>
    <w:p w14:paraId="37DA3F86"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4AC3C8FA" w14:textId="77777777" w:rsidR="00170E58" w:rsidRDefault="00170E58" w:rsidP="00296B30">
      <w:pPr>
        <w:pStyle w:val="SemEspaamento"/>
      </w:pPr>
    </w:p>
    <w:p w14:paraId="5401FBBB" w14:textId="3267BBD8"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sidR="000D07D6">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6B2317C3" w14:textId="77777777" w:rsidR="00533532" w:rsidRPr="00170E58" w:rsidRDefault="00533532" w:rsidP="00296B30">
      <w:pPr>
        <w:pStyle w:val="SemEspaamento"/>
      </w:pPr>
    </w:p>
    <w:p w14:paraId="3C538415"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6AFEF75D"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52648D8A" w14:textId="77777777" w:rsidR="00A409C6" w:rsidRPr="00A409C6" w:rsidRDefault="00A409C6" w:rsidP="00A409C6">
      <w:pPr>
        <w:spacing w:before="100" w:beforeAutospacing="1" w:after="100" w:afterAutospacing="1"/>
        <w:jc w:val="both"/>
        <w:rPr>
          <w:rFonts w:ascii="Times New Roman" w:eastAsia="Times New Roman" w:hAnsi="Times New Roman" w:cs="Times New Roman"/>
          <w:sz w:val="24"/>
          <w:szCs w:val="24"/>
        </w:rPr>
      </w:pPr>
      <w:r w:rsidRPr="00A409C6">
        <w:rPr>
          <w:rFonts w:ascii="Times New Roman" w:eastAsia="Times New Roman" w:hAnsi="Times New Roman" w:cs="Times New Roman"/>
          <w:sz w:val="24"/>
          <w:szCs w:val="24"/>
        </w:rPr>
        <w:t xml:space="preserve">O material apreendido, em razão de seu expressivo volume e massa bruta, permaneceu sob custódia da unidade policial requisitante — </w:t>
      </w:r>
      <w:r w:rsidRPr="00A409C6">
        <w:rPr>
          <w:rFonts w:ascii="Times New Roman" w:eastAsia="Times New Roman" w:hAnsi="Times New Roman" w:cs="Times New Roman"/>
          <w:b/>
          <w:bCs/>
          <w:sz w:val="24"/>
          <w:szCs w:val="24"/>
        </w:rPr>
        <w:t>[EMISSOR]</w:t>
      </w:r>
      <w:r w:rsidRPr="00A409C6">
        <w:rPr>
          <w:rFonts w:ascii="Times New Roman" w:eastAsia="Times New Roman" w:hAnsi="Times New Roman" w:cs="Times New Roman"/>
          <w:sz w:val="24"/>
          <w:szCs w:val="24"/>
        </w:rPr>
        <w:t xml:space="preserve"> —, </w:t>
      </w:r>
      <w:r w:rsidRPr="00A409C6">
        <w:rPr>
          <w:rFonts w:ascii="Times New Roman" w:eastAsia="Times New Roman" w:hAnsi="Times New Roman" w:cs="Times New Roman"/>
          <w:b/>
          <w:bCs/>
          <w:sz w:val="24"/>
          <w:szCs w:val="24"/>
        </w:rPr>
        <w:t>não</w:t>
      </w:r>
      <w:r w:rsidRPr="00A409C6">
        <w:rPr>
          <w:rFonts w:ascii="Times New Roman" w:eastAsia="Times New Roman" w:hAnsi="Times New Roman" w:cs="Times New Roman"/>
          <w:sz w:val="24"/>
          <w:szCs w:val="24"/>
        </w:rPr>
        <w:t xml:space="preserve"> tendo sido transportado fisicamente a esta unidade pericial, em conformidade com os procedimentos previstos na Portaria nº</w:t>
      </w:r>
      <w:r>
        <w:rPr>
          <w:rFonts w:ascii="Times New Roman" w:eastAsia="Times New Roman" w:hAnsi="Times New Roman" w:cs="Times New Roman"/>
          <w:sz w:val="24"/>
          <w:szCs w:val="24"/>
        </w:rPr>
        <w:t>.</w:t>
      </w:r>
      <w:r w:rsidRPr="00A409C6">
        <w:rPr>
          <w:rFonts w:ascii="Times New Roman" w:eastAsia="Times New Roman" w:hAnsi="Times New Roman" w:cs="Times New Roman"/>
          <w:sz w:val="24"/>
          <w:szCs w:val="24"/>
        </w:rPr>
        <w:t xml:space="preserve"> 56-GDG/AN/2021/PC-PI para grandes apreensões de drogas. O Perito Criminal plantonista designado deslocou-se àquela unidade policial para realização do exame preliminar de constatação in loco, referente à Demanda nº. </w:t>
      </w:r>
      <w:r w:rsidRPr="00A409C6">
        <w:rPr>
          <w:rFonts w:ascii="Times New Roman" w:eastAsia="Times New Roman" w:hAnsi="Times New Roman" w:cs="Times New Roman"/>
          <w:b/>
          <w:bCs/>
          <w:sz w:val="24"/>
          <w:szCs w:val="24"/>
        </w:rPr>
        <w:t>[DEMANDA_PRELIM]</w:t>
      </w:r>
      <w:r w:rsidRPr="00A409C6">
        <w:rPr>
          <w:rFonts w:ascii="Times New Roman" w:eastAsia="Times New Roman" w:hAnsi="Times New Roman" w:cs="Times New Roman"/>
          <w:sz w:val="24"/>
          <w:szCs w:val="24"/>
        </w:rPr>
        <w:t>, observados os ditames da IN nº 04/2025/SSP/PI (DOEPI, 28/11/2025) quanto à integração DEPOC/PC-PI e à cadeia de custódia de vestígios.</w:t>
      </w:r>
    </w:p>
    <w:p w14:paraId="7696D08E" w14:textId="77777777" w:rsidR="00A409C6" w:rsidRPr="00A409C6" w:rsidRDefault="00A409C6" w:rsidP="00A409C6">
      <w:pPr>
        <w:spacing w:before="100" w:beforeAutospacing="1" w:after="100" w:afterAutospacing="1"/>
        <w:jc w:val="both"/>
        <w:rPr>
          <w:rFonts w:ascii="Times New Roman" w:eastAsia="Times New Roman" w:hAnsi="Times New Roman" w:cs="Times New Roman"/>
          <w:sz w:val="24"/>
          <w:szCs w:val="24"/>
        </w:rPr>
      </w:pPr>
      <w:r w:rsidRPr="00A409C6">
        <w:rPr>
          <w:rFonts w:ascii="Times New Roman" w:eastAsia="Times New Roman" w:hAnsi="Times New Roman" w:cs="Times New Roman"/>
          <w:sz w:val="24"/>
          <w:szCs w:val="24"/>
        </w:rPr>
        <w:t xml:space="preserve">Ao término do exame preliminar, o perito </w:t>
      </w:r>
      <w:proofErr w:type="spellStart"/>
      <w:r w:rsidRPr="00A409C6">
        <w:rPr>
          <w:rFonts w:ascii="Times New Roman" w:eastAsia="Times New Roman" w:hAnsi="Times New Roman" w:cs="Times New Roman"/>
          <w:sz w:val="24"/>
          <w:szCs w:val="24"/>
        </w:rPr>
        <w:t>reacondicionou</w:t>
      </w:r>
      <w:proofErr w:type="spellEnd"/>
      <w:r w:rsidRPr="00A409C6">
        <w:rPr>
          <w:rFonts w:ascii="Times New Roman" w:eastAsia="Times New Roman" w:hAnsi="Times New Roman" w:cs="Times New Roman"/>
          <w:sz w:val="24"/>
          <w:szCs w:val="24"/>
        </w:rPr>
        <w:t xml:space="preserve"> a integralidade do material em 09 (nove) Envelopes de Vestígios rastreáveis, numerados e identificados no respectivo Laudo Pericial, em </w:t>
      </w:r>
      <w:r w:rsidRPr="00A409C6">
        <w:rPr>
          <w:rFonts w:ascii="Times New Roman" w:eastAsia="Times New Roman" w:hAnsi="Times New Roman" w:cs="Times New Roman"/>
          <w:sz w:val="24"/>
          <w:szCs w:val="24"/>
        </w:rPr>
        <w:lastRenderedPageBreak/>
        <w:t>atendimento ao disposto na ITU-01/2024/CCV-DEPOC quanto ao uso de embalagens-padrão rastreáveis: os Envelope</w:t>
      </w:r>
      <w:r>
        <w:rPr>
          <w:rFonts w:ascii="Times New Roman" w:eastAsia="Times New Roman" w:hAnsi="Times New Roman" w:cs="Times New Roman"/>
          <w:sz w:val="24"/>
          <w:szCs w:val="24"/>
        </w:rPr>
        <w:t>s</w:t>
      </w:r>
      <w:r w:rsidRPr="00A409C6">
        <w:rPr>
          <w:rFonts w:ascii="Times New Roman" w:eastAsia="Times New Roman" w:hAnsi="Times New Roman" w:cs="Times New Roman"/>
          <w:sz w:val="24"/>
          <w:szCs w:val="24"/>
        </w:rPr>
        <w:t xml:space="preserve"> de Vestígios/Lacre nº. </w:t>
      </w:r>
      <w:r w:rsidRPr="00A409C6">
        <w:rPr>
          <w:rFonts w:ascii="Times New Roman" w:eastAsia="Times New Roman" w:hAnsi="Times New Roman" w:cs="Times New Roman"/>
          <w:b/>
          <w:bCs/>
          <w:sz w:val="24"/>
          <w:szCs w:val="24"/>
        </w:rPr>
        <w:t>[LACRES_REMANESCENTES]</w:t>
      </w:r>
      <w:r w:rsidRPr="00A409C6">
        <w:rPr>
          <w:rFonts w:ascii="Times New Roman" w:eastAsia="Times New Roman" w:hAnsi="Times New Roman" w:cs="Times New Roman"/>
          <w:sz w:val="24"/>
          <w:szCs w:val="24"/>
        </w:rPr>
        <w:t xml:space="preserve"> foram devolvidos à autoridade requisitante, que ficou responsável pela guarda e custódia do material remanescente. A fração representativa destinada ao exame definitivo foi encaminhada a esta unidade pericial acondicionada no Envelope de Vestígios/Lacre nº. </w:t>
      </w:r>
      <w:r w:rsidRPr="00A409C6">
        <w:rPr>
          <w:rFonts w:ascii="Times New Roman" w:eastAsia="Times New Roman" w:hAnsi="Times New Roman" w:cs="Times New Roman"/>
          <w:b/>
          <w:bCs/>
          <w:sz w:val="24"/>
          <w:szCs w:val="24"/>
        </w:rPr>
        <w:t>[ENV_ENTRADA]</w:t>
      </w:r>
      <w:r w:rsidRPr="00A409C6">
        <w:rPr>
          <w:rFonts w:ascii="Times New Roman" w:eastAsia="Times New Roman" w:hAnsi="Times New Roman" w:cs="Times New Roman"/>
          <w:sz w:val="24"/>
          <w:szCs w:val="24"/>
        </w:rPr>
        <w:t xml:space="preserve">, cadastrada no sistema AMPLO sob nº. </w:t>
      </w:r>
      <w:r w:rsidRPr="00A409C6">
        <w:rPr>
          <w:rFonts w:ascii="Times New Roman" w:eastAsia="Times New Roman" w:hAnsi="Times New Roman" w:cs="Times New Roman"/>
          <w:b/>
          <w:bCs/>
          <w:sz w:val="24"/>
          <w:szCs w:val="24"/>
        </w:rPr>
        <w:t>[AMPLO]</w:t>
      </w:r>
      <w:r w:rsidRPr="00A409C6">
        <w:rPr>
          <w:rFonts w:ascii="Times New Roman" w:eastAsia="Times New Roman" w:hAnsi="Times New Roman" w:cs="Times New Roman"/>
          <w:sz w:val="24"/>
          <w:szCs w:val="24"/>
        </w:rPr>
        <w:t xml:space="preserve">, em observância à cadeia de custódia da prova prevista nos </w:t>
      </w:r>
      <w:proofErr w:type="spellStart"/>
      <w:r w:rsidRPr="00A409C6">
        <w:rPr>
          <w:rFonts w:ascii="Times New Roman" w:eastAsia="Times New Roman" w:hAnsi="Times New Roman" w:cs="Times New Roman"/>
          <w:sz w:val="24"/>
          <w:szCs w:val="24"/>
        </w:rPr>
        <w:t>arts</w:t>
      </w:r>
      <w:proofErr w:type="spellEnd"/>
      <w:r w:rsidRPr="00A409C6">
        <w:rPr>
          <w:rFonts w:ascii="Times New Roman" w:eastAsia="Times New Roman" w:hAnsi="Times New Roman" w:cs="Times New Roman"/>
          <w:sz w:val="24"/>
          <w:szCs w:val="24"/>
        </w:rPr>
        <w:t>. 158-A a 158-F do CPP (Lei 13.964/2019).</w:t>
      </w:r>
    </w:p>
    <w:p w14:paraId="12CBC73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2EA6EEC9"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51"/>
        <w:gridCol w:w="2661"/>
        <w:gridCol w:w="1750"/>
        <w:gridCol w:w="1961"/>
        <w:gridCol w:w="2470"/>
      </w:tblGrid>
      <w:tr w:rsidR="00E74FC0" w:rsidRPr="00B674A3" w14:paraId="34E16F6E"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55237261"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4BE7D984"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18907479"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78D0FF6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04E3DEA7"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8F6164" w:rsidRPr="00B674A3" w14:paraId="77B59B5D"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77CA2BB" w14:textId="77777777"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37BBC9F" w14:textId="77777777" w:rsidR="008F6164" w:rsidRDefault="005F5A2A"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[MASSA_CC_BRUTA]</w:t>
            </w:r>
            <w:r w:rsidR="008F6164">
              <w:rPr>
                <w:rFonts w:ascii="Times New Roman" w:hAnsi="Times New Roman" w:cs="Times New Roman"/>
                <w:sz w:val="20"/>
                <w:szCs w:val="20"/>
              </w:rPr>
              <w:t xml:space="preserve"> </w:t>
            </w:r>
            <w:r w:rsidRPr="005F5A2A">
              <w:rPr>
                <w:rFonts w:ascii="Times New Roman" w:hAnsi="Times New Roman" w:cs="Times New Roman"/>
                <w:b/>
                <w:bCs/>
                <w:sz w:val="20"/>
                <w:szCs w:val="20"/>
              </w:rPr>
              <w:t>k</w:t>
            </w:r>
            <w:r w:rsidR="008F6164" w:rsidRPr="005F5A2A">
              <w:rPr>
                <w:rFonts w:ascii="Times New Roman" w:hAnsi="Times New Roman" w:cs="Times New Roman"/>
                <w:b/>
                <w:bCs/>
                <w:sz w:val="20"/>
                <w:szCs w:val="20"/>
              </w:rPr>
              <w:t>g</w:t>
            </w:r>
            <w:r w:rsidR="008F6164">
              <w:rPr>
                <w:rFonts w:ascii="Times New Roman" w:hAnsi="Times New Roman" w:cs="Times New Roman"/>
                <w:sz w:val="20"/>
                <w:szCs w:val="20"/>
              </w:rPr>
              <w:t xml:space="preserve"> (</w:t>
            </w:r>
            <w:r>
              <w:rPr>
                <w:rFonts w:ascii="Times New Roman" w:hAnsi="Times New Roman" w:cs="Times New Roman"/>
                <w:i/>
                <w:iCs/>
                <w:sz w:val="20"/>
                <w:szCs w:val="20"/>
              </w:rPr>
              <w:t>[MASSA_CC_BRUTA_EXT]</w:t>
            </w:r>
            <w:r w:rsidR="008F6164">
              <w:rPr>
                <w:rFonts w:ascii="Times New Roman" w:hAnsi="Times New Roman" w:cs="Times New Roman"/>
                <w:sz w:val="20"/>
                <w:szCs w:val="20"/>
              </w:rPr>
              <w:t>) massa bruta</w:t>
            </w:r>
          </w:p>
        </w:tc>
        <w:tc>
          <w:tcPr>
            <w:tcW w:w="1316" w:type="dxa"/>
          </w:tcPr>
          <w:p w14:paraId="0CFFEDB1" w14:textId="6CADE587" w:rsidR="008F6164" w:rsidRPr="000D07D6"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D07D6">
              <w:rPr>
                <w:rFonts w:ascii="Times New Roman" w:hAnsi="Times New Roman" w:cs="Times New Roman"/>
                <w:sz w:val="20"/>
                <w:szCs w:val="20"/>
                <w:lang w:val="en-US"/>
              </w:rPr>
              <w:t>[QTD_CC] ([QTD_CC_EXT])</w:t>
            </w:r>
          </w:p>
        </w:tc>
        <w:tc>
          <w:tcPr>
            <w:tcW w:w="2086" w:type="dxa"/>
          </w:tcPr>
          <w:p w14:paraId="514E4F2E" w14:textId="3690C602" w:rsidR="008F6164" w:rsidRDefault="000D07D6"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[ACOND_CC]</w:t>
            </w:r>
          </w:p>
        </w:tc>
        <w:tc>
          <w:tcPr>
            <w:tcW w:w="3119" w:type="dxa"/>
          </w:tcPr>
          <w:p w14:paraId="4440742C" w14:textId="77777777"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[ASPECTOS_CC]</w:t>
            </w:r>
          </w:p>
        </w:tc>
      </w:tr>
    </w:tbl>
    <w:p w14:paraId="0D1647C2" w14:textId="77777777"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2ACB9274" w14:textId="77777777" w:rsidR="00A05F41" w:rsidRPr="00B674A3" w:rsidRDefault="00A05F41" w:rsidP="007B71B0">
      <w:pPr>
        <w:spacing w:before="80" w:after="80"/>
        <w:rPr>
          <w:rFonts w:ascii="Times New Roman" w:hAnsi="Times New Roman" w:cs="Times New Roman"/>
          <w:sz w:val="20"/>
          <w:szCs w:val="20"/>
        </w:rPr>
      </w:pPr>
    </w:p>
    <w:p w14:paraId="5EBE2FB9" w14:textId="77777777" w:rsidR="00B674A3" w:rsidRDefault="005F5A2A" w:rsidP="007B71B0">
      <w:pPr>
        <w:spacing w:before="80" w:after="80"/>
        <w:jc w:val="center"/>
        <w:rPr>
          <w:rFonts w:ascii="Times New Roman" w:hAnsi="Times New Roman" w:cs="Times New Roman"/>
          <w:i/>
          <w:iCs/>
        </w:rPr>
      </w:pPr>
      <w:r>
        <w:rPr>
          <w:noProof/>
        </w:rPr>
        <w:drawing>
          <wp:inline distT="0" distB="0" distL="0" distR="0" wp14:anchorId="449247D2" wp14:editId="3ADA2D9D">
            <wp:extent cx="6120130" cy="4590415"/>
            <wp:effectExtent l="0" t="0" r="0"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4590415"/>
                    </a:xfrm>
                    <a:prstGeom prst="rect">
                      <a:avLst/>
                    </a:prstGeom>
                    <a:noFill/>
                    <a:ln>
                      <a:noFill/>
                    </a:ln>
                  </pic:spPr>
                </pic:pic>
              </a:graphicData>
            </a:graphic>
          </wp:inline>
        </w:drawing>
      </w:r>
    </w:p>
    <w:p w14:paraId="4139C644" w14:textId="77777777"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w:t>
      </w:r>
      <w:r w:rsidR="005F5A2A">
        <w:rPr>
          <w:rFonts w:ascii="Times New Roman" w:hAnsi="Times New Roman" w:cs="Times New Roman"/>
          <w:i/>
          <w:iCs/>
          <w:sz w:val="20"/>
          <w:szCs w:val="20"/>
        </w:rPr>
        <w:t>examinado</w:t>
      </w:r>
      <w:r>
        <w:rPr>
          <w:rFonts w:ascii="Times New Roman" w:hAnsi="Times New Roman" w:cs="Times New Roman"/>
          <w:i/>
          <w:iCs/>
          <w:sz w:val="20"/>
          <w:szCs w:val="20"/>
        </w:rPr>
        <w:t xml:space="preserve">. Material custodiado </w:t>
      </w:r>
      <w:r w:rsidR="005F5A2A">
        <w:rPr>
          <w:rFonts w:ascii="Times New Roman" w:hAnsi="Times New Roman" w:cs="Times New Roman"/>
          <w:i/>
          <w:iCs/>
          <w:sz w:val="20"/>
          <w:szCs w:val="20"/>
        </w:rPr>
        <w:t>definitivamente</w:t>
      </w:r>
      <w:r>
        <w:rPr>
          <w:rFonts w:ascii="Times New Roman" w:hAnsi="Times New Roman" w:cs="Times New Roman"/>
          <w:i/>
          <w:iCs/>
          <w:sz w:val="20"/>
          <w:szCs w:val="20"/>
        </w:rPr>
        <w:t xml:space="preserve"> no </w:t>
      </w:r>
      <w:r w:rsidR="005F5A2A">
        <w:rPr>
          <w:rFonts w:ascii="Times New Roman" w:hAnsi="Times New Roman" w:cs="Times New Roman"/>
          <w:i/>
          <w:iCs/>
          <w:sz w:val="20"/>
          <w:szCs w:val="20"/>
        </w:rPr>
        <w:t>CF-PHB</w:t>
      </w:r>
      <w:r>
        <w:rPr>
          <w:rFonts w:ascii="Times New Roman" w:hAnsi="Times New Roman" w:cs="Times New Roman"/>
          <w:i/>
          <w:iCs/>
          <w:sz w:val="20"/>
          <w:szCs w:val="20"/>
        </w:rPr>
        <w:t>.</w:t>
      </w:r>
    </w:p>
    <w:p w14:paraId="6077F46B" w14:textId="77777777" w:rsidR="00533532" w:rsidRPr="007B71B0" w:rsidRDefault="00533532" w:rsidP="007B71B0">
      <w:pPr>
        <w:rPr>
          <w:rFonts w:ascii="Times New Roman" w:hAnsi="Times New Roman" w:cs="Times New Roman"/>
          <w:sz w:val="24"/>
          <w:szCs w:val="24"/>
        </w:rPr>
      </w:pPr>
    </w:p>
    <w:p w14:paraId="74E8A547" w14:textId="77777777" w:rsidR="00533532" w:rsidRPr="00A409C6" w:rsidRDefault="00A409C6" w:rsidP="007B71B0">
      <w:pPr>
        <w:spacing w:before="80" w:after="80"/>
        <w:jc w:val="both"/>
        <w:rPr>
          <w:rFonts w:ascii="Times New Roman" w:hAnsi="Times New Roman" w:cs="Times New Roman"/>
          <w:sz w:val="24"/>
          <w:szCs w:val="24"/>
        </w:rPr>
      </w:pPr>
      <w:r w:rsidRPr="00A409C6">
        <w:rPr>
          <w:rFonts w:ascii="Times New Roman" w:hAnsi="Times New Roman" w:cs="Times New Roman"/>
          <w:sz w:val="24"/>
          <w:szCs w:val="24"/>
        </w:rPr>
        <w:t xml:space="preserve">A fração representativa encaminhada a esta unidade pericial — acondicionada no Envelope de Vestígios/Lacre nº. </w:t>
      </w:r>
      <w:r w:rsidRPr="00A409C6">
        <w:rPr>
          <w:rFonts w:ascii="Times New Roman" w:hAnsi="Times New Roman" w:cs="Times New Roman"/>
          <w:b/>
          <w:bCs/>
          <w:sz w:val="24"/>
          <w:szCs w:val="24"/>
        </w:rPr>
        <w:t>[ENV_ENTRADA]</w:t>
      </w:r>
      <w:r w:rsidRPr="00A409C6">
        <w:rPr>
          <w:rFonts w:ascii="Times New Roman" w:hAnsi="Times New Roman" w:cs="Times New Roman"/>
          <w:sz w:val="24"/>
          <w:szCs w:val="24"/>
        </w:rPr>
        <w:t xml:space="preserve"> — permaneceu custodiada no Setor de Química Forense, onde foram realizadas as análises físico-químicas e instrumentais necessárias à identificação definitiva da substância. Ao término dos exames, a fração remanescente foi </w:t>
      </w:r>
      <w:proofErr w:type="spellStart"/>
      <w:r w:rsidRPr="00A409C6">
        <w:rPr>
          <w:rFonts w:ascii="Times New Roman" w:hAnsi="Times New Roman" w:cs="Times New Roman"/>
          <w:sz w:val="24"/>
          <w:szCs w:val="24"/>
        </w:rPr>
        <w:t>reacondicionada</w:t>
      </w:r>
      <w:proofErr w:type="spellEnd"/>
      <w:r w:rsidRPr="00A409C6">
        <w:rPr>
          <w:rFonts w:ascii="Times New Roman" w:hAnsi="Times New Roman" w:cs="Times New Roman"/>
          <w:sz w:val="24"/>
          <w:szCs w:val="24"/>
        </w:rPr>
        <w:t xml:space="preserve"> no Envelope de Vestígios/Lacre nº. </w:t>
      </w:r>
      <w:r w:rsidR="00F51FB4">
        <w:rPr>
          <w:rFonts w:ascii="Times New Roman" w:hAnsi="Times New Roman" w:cs="Times New Roman"/>
          <w:b/>
          <w:bCs/>
          <w:sz w:val="24"/>
          <w:szCs w:val="24"/>
        </w:rPr>
        <w:t>[ENV_POS_DEF]</w:t>
      </w:r>
      <w:r w:rsidRPr="00A409C6">
        <w:rPr>
          <w:rFonts w:ascii="Times New Roman" w:hAnsi="Times New Roman" w:cs="Times New Roman"/>
          <w:sz w:val="24"/>
          <w:szCs w:val="24"/>
        </w:rPr>
        <w:t xml:space="preserve"> e retida nesta unidade pericial na condição de contraprova, cadastrada no sistema AMPLO sob nº. </w:t>
      </w:r>
      <w:r w:rsidRPr="00A409C6">
        <w:rPr>
          <w:rFonts w:ascii="Times New Roman" w:hAnsi="Times New Roman" w:cs="Times New Roman"/>
          <w:b/>
          <w:bCs/>
          <w:sz w:val="24"/>
          <w:szCs w:val="24"/>
        </w:rPr>
        <w:t>[CP_AMPLO]</w:t>
      </w:r>
      <w:r w:rsidRPr="00A409C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409C6">
        <w:rPr>
          <w:rFonts w:ascii="Times New Roman" w:hAnsi="Times New Roman" w:cs="Times New Roman"/>
          <w:sz w:val="24"/>
          <w:szCs w:val="24"/>
        </w:rPr>
        <w:t xml:space="preserve">Envelope de Vestígios/Lacre </w:t>
      </w:r>
      <w:r w:rsidRPr="00A409C6">
        <w:rPr>
          <w:rFonts w:ascii="Times New Roman" w:hAnsi="Times New Roman" w:cs="Times New Roman"/>
          <w:sz w:val="24"/>
          <w:szCs w:val="24"/>
        </w:rPr>
        <w:lastRenderedPageBreak/>
        <w:t xml:space="preserve">nº. </w:t>
      </w:r>
      <w:r w:rsidRPr="00A409C6">
        <w:rPr>
          <w:rFonts w:ascii="Times New Roman" w:hAnsi="Times New Roman" w:cs="Times New Roman"/>
          <w:b/>
          <w:bCs/>
          <w:sz w:val="24"/>
          <w:szCs w:val="24"/>
        </w:rPr>
        <w:t>[ENV_CP]</w:t>
      </w:r>
      <w:r>
        <w:rPr>
          <w:rFonts w:ascii="Times New Roman" w:hAnsi="Times New Roman" w:cs="Times New Roman"/>
          <w:sz w:val="24"/>
          <w:szCs w:val="24"/>
        </w:rPr>
        <w:t xml:space="preserve"> </w:t>
      </w:r>
      <w:r w:rsidRPr="00A409C6">
        <w:rPr>
          <w:rFonts w:ascii="Times New Roman" w:hAnsi="Times New Roman" w:cs="Times New Roman"/>
          <w:sz w:val="24"/>
          <w:szCs w:val="24"/>
        </w:rPr>
        <w:t xml:space="preserve">—, nos termos do art. 158-A, §4º, do CPP (Lei 13.964/2019) e da Portaria nº 56-GDG/AN/2021/PC-PI, que estabelece o prazo de 05 (cinco) anos para guarda das amostras de contraprova de substâncias entorpecentes. O material remanescente da apreensão, conforme descrito </w:t>
      </w:r>
      <w:r>
        <w:rPr>
          <w:rFonts w:ascii="Times New Roman" w:hAnsi="Times New Roman" w:cs="Times New Roman"/>
          <w:sz w:val="24"/>
          <w:szCs w:val="24"/>
        </w:rPr>
        <w:t>anteriormente</w:t>
      </w:r>
      <w:r w:rsidRPr="00A409C6">
        <w:rPr>
          <w:rFonts w:ascii="Times New Roman" w:hAnsi="Times New Roman" w:cs="Times New Roman"/>
          <w:sz w:val="24"/>
          <w:szCs w:val="24"/>
        </w:rPr>
        <w:t xml:space="preserve">, encontra-se sob guarda da </w:t>
      </w:r>
      <w:r w:rsidRPr="00A409C6">
        <w:rPr>
          <w:rFonts w:ascii="Times New Roman" w:hAnsi="Times New Roman" w:cs="Times New Roman"/>
          <w:b/>
          <w:bCs/>
          <w:sz w:val="24"/>
          <w:szCs w:val="24"/>
        </w:rPr>
        <w:t>[EMISSOR]</w:t>
      </w:r>
      <w:r w:rsidRPr="00A409C6">
        <w:rPr>
          <w:rFonts w:ascii="Times New Roman" w:hAnsi="Times New Roman" w:cs="Times New Roman"/>
          <w:sz w:val="24"/>
          <w:szCs w:val="24"/>
        </w:rPr>
        <w:t>.</w:t>
      </w:r>
    </w:p>
    <w:p w14:paraId="1C199107" w14:textId="77777777" w:rsidR="00533532" w:rsidRPr="00A409C6" w:rsidRDefault="00533532" w:rsidP="00296B30">
      <w:pPr>
        <w:pStyle w:val="SemEspaamento"/>
        <w:rPr>
          <w:rFonts w:ascii="Times New Roman" w:hAnsi="Times New Roman" w:cs="Times New Roman"/>
          <w:sz w:val="24"/>
          <w:szCs w:val="24"/>
        </w:rPr>
      </w:pPr>
    </w:p>
    <w:p w14:paraId="1BDD7351"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199D9FA1"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4F01959D" w14:textId="39694D43" w:rsidR="00533532"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rFonts w:ascii="Times New Roman" w:hAnsi="Times New Roman" w:cs="Times New Roman"/>
          <w:b/>
          <w:sz w:val="24"/>
          <w:szCs w:val="24"/>
        </w:rPr>
        <w:t>PASSED</w:t>
      </w:r>
      <w:r>
        <w:rPr>
          <w:rFonts w:ascii="Times New Roman" w:hAnsi="Times New Roman" w:cs="Times New Roman"/>
          <w:sz w:val="24"/>
          <w:szCs w:val="24"/>
        </w:rPr>
        <w:t xml:space="preserve"> em todos os testes obrigatórios: (</w:t>
      </w:r>
      <w:r>
        <w:rPr>
          <w:rFonts w:ascii="Times New Roman" w:hAnsi="Times New Roman" w:cs="Times New Roman"/>
          <w:b/>
          <w:sz w:val="24"/>
          <w:szCs w:val="24"/>
        </w:rPr>
        <w:t>i</w:t>
      </w:r>
      <w:r>
        <w:rPr>
          <w:rFonts w:ascii="Times New Roman" w:hAnsi="Times New Roman" w:cs="Times New Roman"/>
          <w:sz w:val="24"/>
          <w:szCs w:val="24"/>
        </w:rPr>
        <w:t>) Relação Sinal/Ruído (S/N) medida: [OVP_SN_VALUE] (mínimo exigido: 150); (</w:t>
      </w:r>
      <w:r>
        <w:rPr>
          <w:rFonts w:ascii="Times New Roman" w:hAnsi="Times New Roman" w:cs="Times New Roman"/>
          <w:b/>
          <w:sz w:val="24"/>
          <w:szCs w:val="24"/>
        </w:rPr>
        <w:t>ii</w:t>
      </w:r>
      <w:r>
        <w:rPr>
          <w:rFonts w:ascii="Times New Roman" w:hAnsi="Times New Roman" w:cs="Times New Roman"/>
          <w:sz w:val="24"/>
          <w:szCs w:val="24"/>
        </w:rPr>
        <w:t>) Desvio máximo da linha 100%: [OVP_BASELINE_DEV] (máximo admissível: 2,0%); (</w:t>
      </w:r>
      <w:r>
        <w:rPr>
          <w:rFonts w:ascii="Times New Roman" w:hAnsi="Times New Roman" w:cs="Times New Roman"/>
          <w:b/>
          <w:sz w:val="24"/>
          <w:szCs w:val="24"/>
        </w:rPr>
        <w:t>iii</w:t>
      </w:r>
      <w:r>
        <w:rPr>
          <w:rFonts w:ascii="Times New Roman" w:hAnsi="Times New Roman" w:cs="Times New Roman"/>
          <w:sz w:val="24"/>
          <w:szCs w:val="24"/>
        </w:rP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17C5C714" w14:textId="77777777" w:rsidR="000D07D6" w:rsidRPr="007B71B0" w:rsidRDefault="000D07D6" w:rsidP="007B71B0">
      <w:pPr>
        <w:spacing w:before="80" w:after="80"/>
        <w:jc w:val="both"/>
        <w:rPr>
          <w:rFonts w:ascii="Times New Roman" w:hAnsi="Times New Roman" w:cs="Times New Roman"/>
          <w:sz w:val="24"/>
          <w:szCs w:val="24"/>
        </w:rPr>
      </w:pPr>
    </w:p>
    <w:p w14:paraId="3EDDFDC7"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655D82C6" w14:textId="19730589" w:rsidR="00533532"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6CA8263E" w14:textId="77777777" w:rsidR="000D07D6" w:rsidRPr="007B71B0" w:rsidRDefault="000D07D6" w:rsidP="007B71B0">
      <w:pPr>
        <w:spacing w:before="80" w:after="80"/>
        <w:jc w:val="both"/>
        <w:rPr>
          <w:rFonts w:ascii="Times New Roman" w:hAnsi="Times New Roman" w:cs="Times New Roman"/>
          <w:sz w:val="24"/>
          <w:szCs w:val="24"/>
        </w:rPr>
      </w:pPr>
    </w:p>
    <w:p w14:paraId="6863675B"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4880F396"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2"/>
      </w:r>
    </w:p>
    <w:p w14:paraId="160DA00E"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3C1F568"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62F052B9" w14:textId="77777777" w:rsidR="00256A8B" w:rsidRDefault="00256A8B" w:rsidP="00256A8B">
      <w:pPr>
        <w:jc w:val="center"/>
      </w:pPr>
      <w:r>
        <w:rPr>
          <w:noProof/>
        </w:rPr>
        <w:drawing>
          <wp:inline distT="0" distB="0" distL="0" distR="0" wp14:anchorId="5F14B035" wp14:editId="37B8C8BB">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38A26909"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49A45257" w14:textId="7777777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3FF7A5CD" w14:textId="77777777" w:rsidR="007C63D7" w:rsidRPr="00256A8B" w:rsidRDefault="007C63D7" w:rsidP="00256A8B">
      <w:pPr>
        <w:jc w:val="center"/>
        <w:rPr>
          <w:rFonts w:ascii="Times New Roman" w:eastAsia="Times New Roman" w:hAnsi="Times New Roman" w:cs="Times New Roman"/>
          <w:i/>
          <w:iCs/>
          <w:sz w:val="20"/>
          <w:szCs w:val="20"/>
        </w:rPr>
      </w:pPr>
    </w:p>
    <w:p w14:paraId="1AA08D48" w14:textId="77777777"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2.4.   Espectroscopia no Infravermelho por Transformada de Fourier (FTIR-ATR)</w:t>
      </w:r>
    </w:p>
    <w:p w14:paraId="1C58B489" w14:textId="687056B1"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w:t>
      </w:r>
      <w:r w:rsidR="000D07D6">
        <w:rPr>
          <w:rFonts w:ascii="Times New Roman" w:hAnsi="Times New Roman" w:cs="Times New Roman"/>
          <w:sz w:val="24"/>
          <w:szCs w:val="24"/>
        </w:rPr>
        <w:t xml:space="preserve">geralmente </w:t>
      </w:r>
      <w:r>
        <w:rPr>
          <w:rFonts w:ascii="Times New Roman" w:hAnsi="Times New Roman" w:cs="Times New Roman"/>
          <w:sz w:val="24"/>
          <w:szCs w:val="24"/>
        </w:rPr>
        <w:t>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1212BA26" w14:textId="74A948F9" w:rsidR="004C4BDD" w:rsidRPr="007B71B0" w:rsidRDefault="004C4BDD" w:rsidP="004C4BDD">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w:t>
      </w:r>
      <w:r w:rsidR="00936FA8">
        <w:rPr>
          <w:rFonts w:ascii="Times New Roman" w:hAnsi="Times New Roman" w:cs="Times New Roman"/>
          <w:sz w:val="24"/>
          <w:szCs w:val="24"/>
        </w:rPr>
        <w:t xml:space="preserve">Espectrômetro </w:t>
      </w:r>
      <w:proofErr w:type="spellStart"/>
      <w:r w:rsidR="00936FA8">
        <w:rPr>
          <w:rStyle w:val="Forte"/>
          <w:rFonts w:ascii="Times New Roman" w:hAnsi="Times New Roman" w:cs="Times New Roman"/>
          <w:b w:val="0"/>
          <w:bCs w:val="0"/>
          <w:i/>
          <w:iCs/>
          <w:sz w:val="24"/>
          <w:szCs w:val="24"/>
        </w:rPr>
        <w:t>Bruker</w:t>
      </w:r>
      <w:proofErr w:type="spellEnd"/>
      <w:r w:rsidR="00936FA8">
        <w:rPr>
          <w:rStyle w:val="Forte"/>
          <w:rFonts w:ascii="Times New Roman" w:hAnsi="Times New Roman" w:cs="Times New Roman"/>
          <w:b w:val="0"/>
          <w:bCs w:val="0"/>
          <w:i/>
          <w:iCs/>
          <w:sz w:val="24"/>
          <w:szCs w:val="24"/>
        </w:rPr>
        <w:t xml:space="preserve"> Alpha II</w:t>
      </w:r>
      <w:r w:rsidR="00936FA8">
        <w:rPr>
          <w:rFonts w:ascii="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proofErr w:type="spellStart"/>
      <w:r w:rsidR="00936FA8">
        <w:rPr>
          <w:rStyle w:val="nfase"/>
          <w:rFonts w:ascii="Times New Roman" w:hAnsi="Times New Roman" w:cs="Times New Roman"/>
          <w:sz w:val="24"/>
          <w:szCs w:val="24"/>
        </w:rPr>
        <w:t>scans</w:t>
      </w:r>
      <w:proofErr w:type="spellEnd"/>
      <w:r w:rsidR="00936FA8">
        <w:rPr>
          <w:rFonts w:ascii="Times New Roman" w:hAnsi="Times New Roman" w:cs="Times New Roman"/>
          <w:sz w:val="24"/>
          <w:szCs w:val="24"/>
        </w:rPr>
        <w:t xml:space="preserve">) e resolução de 4 cm⁻¹. O processamento e a identificação espectral foram realizados pelo software </w:t>
      </w:r>
      <w:r w:rsidR="00936FA8">
        <w:rPr>
          <w:rStyle w:val="nfase"/>
          <w:rFonts w:ascii="Times New Roman" w:hAnsi="Times New Roman" w:cs="Times New Roman"/>
          <w:sz w:val="24"/>
          <w:szCs w:val="24"/>
        </w:rPr>
        <w:t xml:space="preserve">OPUS </w:t>
      </w:r>
      <w:proofErr w:type="spellStart"/>
      <w:r w:rsidR="00936FA8">
        <w:rPr>
          <w:rStyle w:val="nfase"/>
          <w:rFonts w:ascii="Times New Roman" w:hAnsi="Times New Roman" w:cs="Times New Roman"/>
          <w:sz w:val="24"/>
          <w:szCs w:val="24"/>
        </w:rPr>
        <w:t>DrugID</w:t>
      </w:r>
      <w:proofErr w:type="spellEnd"/>
      <w:r w:rsidR="00936FA8">
        <w:rPr>
          <w:rStyle w:val="nfase"/>
          <w:rFonts w:ascii="Times New Roman" w:hAnsi="Times New Roman" w:cs="Times New Roman"/>
          <w:sz w:val="24"/>
          <w:szCs w:val="24"/>
        </w:rPr>
        <w:t xml:space="preserve"> </w:t>
      </w:r>
      <w:proofErr w:type="spellStart"/>
      <w:r w:rsidR="00936FA8">
        <w:rPr>
          <w:rStyle w:val="nfase"/>
          <w:rFonts w:ascii="Times New Roman" w:hAnsi="Times New Roman" w:cs="Times New Roman"/>
          <w:sz w:val="24"/>
          <w:szCs w:val="24"/>
        </w:rPr>
        <w:t>Wizard</w:t>
      </w:r>
      <w:proofErr w:type="spellEnd"/>
      <w:r w:rsidR="00936FA8">
        <w:rPr>
          <w:rFonts w:ascii="Times New Roman" w:hAnsi="Times New Roman" w:cs="Times New Roman"/>
          <w:sz w:val="24"/>
          <w:szCs w:val="24"/>
        </w:rPr>
        <w:t>, versão 8.2 Build 8.2.28 / DB 8.2.28.242 (</w:t>
      </w:r>
      <w:proofErr w:type="spellStart"/>
      <w:r w:rsidR="00936FA8">
        <w:rPr>
          <w:rFonts w:ascii="Times New Roman" w:hAnsi="Times New Roman" w:cs="Times New Roman"/>
          <w:sz w:val="24"/>
          <w:szCs w:val="24"/>
        </w:rPr>
        <w:t>Bruker</w:t>
      </w:r>
      <w:proofErr w:type="spellEnd"/>
      <w:r w:rsidR="00936FA8">
        <w:rPr>
          <w:rFonts w:ascii="Times New Roman" w:hAnsi="Times New Roman" w:cs="Times New Roman"/>
          <w:sz w:val="24"/>
          <w:szCs w:val="24"/>
        </w:rPr>
        <w:t xml:space="preserve"> </w:t>
      </w:r>
      <w:proofErr w:type="spellStart"/>
      <w:r w:rsidR="00936FA8">
        <w:rPr>
          <w:rFonts w:ascii="Times New Roman" w:hAnsi="Times New Roman" w:cs="Times New Roman"/>
          <w:sz w:val="24"/>
          <w:szCs w:val="24"/>
        </w:rPr>
        <w:t>Optik</w:t>
      </w:r>
      <w:proofErr w:type="spellEnd"/>
      <w:r w:rsidR="00936FA8">
        <w:rPr>
          <w:rFonts w:ascii="Times New Roman" w:hAnsi="Times New Roman" w:cs="Times New Roman"/>
          <w:sz w:val="24"/>
          <w:szCs w:val="24"/>
        </w:rPr>
        <w:t xml:space="preserve"> GmbH).</w:t>
      </w:r>
    </w:p>
    <w:p w14:paraId="737BF721" w14:textId="231A3A90"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w:t>
      </w:r>
      <w:r>
        <w:rPr>
          <w:rStyle w:val="Refdenotaderodap"/>
          <w:rFonts w:ascii="Times New Roman" w:hAnsi="Times New Roman" w:cs="Times New Roman"/>
          <w:sz w:val="24"/>
          <w:szCs w:val="24"/>
        </w:rPr>
        <w:footnoteReference w:id="3"/>
      </w:r>
      <w:r w:rsidR="000D07D6">
        <w:rPr>
          <w:rFonts w:ascii="Times New Roman" w:hAnsi="Times New Roman" w:cs="Times New Roman"/>
          <w:sz w:val="24"/>
          <w:szCs w:val="24"/>
        </w:rP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75C49715" w14:textId="77777777"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46F981DA" wp14:editId="6CF772D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1E508A0" w14:textId="7777777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1A88AFAE" w14:textId="77777777" w:rsidR="00533532" w:rsidRPr="00296B30" w:rsidRDefault="00533532" w:rsidP="00296B30">
      <w:pPr>
        <w:pStyle w:val="SemEspaamento"/>
      </w:pPr>
    </w:p>
    <w:p w14:paraId="08C8599E" w14:textId="77777777"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0922A6BE"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11637E2D" w14:textId="77777777"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 amostra apresentou o seguinte comportamento reacional, registrado em todas as etapas do protocolo:</w:t>
      </w:r>
    </w:p>
    <w:p w14:paraId="30EC2BD6"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09798D3C"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6F5A8004" w14:textId="77777777" w:rsidR="008E04B3" w:rsidRPr="002E3AB8" w:rsidRDefault="008E04B3" w:rsidP="001C73AF">
            <w:pPr>
              <w:spacing w:before="40" w:after="40" w:line="276" w:lineRule="auto"/>
              <w:jc w:val="center"/>
              <w:rPr>
                <w:rFonts w:ascii="Times New Roman" w:hAnsi="Times New Roman" w:cs="Times New Roman"/>
                <w:sz w:val="20"/>
                <w:szCs w:val="20"/>
              </w:rPr>
            </w:pPr>
            <w:r>
              <w:rPr>
                <w:rFonts w:ascii="Times New Roman" w:hAnsi="Times New Roman" w:cs="Times New Roman"/>
                <w:sz w:val="20"/>
                <w:szCs w:val="20"/>
              </w:rPr>
              <w:t>Item</w:t>
            </w:r>
          </w:p>
        </w:tc>
        <w:tc>
          <w:tcPr>
            <w:tcW w:w="2147" w:type="dxa"/>
          </w:tcPr>
          <w:p w14:paraId="7DEDFA08" w14:textId="77777777"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1</w:t>
            </w:r>
          </w:p>
        </w:tc>
        <w:tc>
          <w:tcPr>
            <w:tcW w:w="1840" w:type="dxa"/>
          </w:tcPr>
          <w:p w14:paraId="2D9E0A5B" w14:textId="77777777"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2</w:t>
            </w:r>
          </w:p>
        </w:tc>
        <w:tc>
          <w:tcPr>
            <w:tcW w:w="2268" w:type="dxa"/>
          </w:tcPr>
          <w:p w14:paraId="23000BDE" w14:textId="77777777"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3</w:t>
            </w:r>
          </w:p>
        </w:tc>
        <w:tc>
          <w:tcPr>
            <w:tcW w:w="2697" w:type="dxa"/>
            <w:vMerge w:val="restart"/>
          </w:tcPr>
          <w:p w14:paraId="53D41013" w14:textId="77777777"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Resultado integrado</w:t>
            </w:r>
          </w:p>
        </w:tc>
      </w:tr>
      <w:tr w:rsidR="008E04B3" w:rsidRPr="002E3AB8" w14:paraId="76FD224B"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172BF298"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0C0662C0" w14:textId="77777777"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Formação de precipitado azul [</w:t>
            </w:r>
            <w:proofErr w:type="gramStart"/>
            <w:r>
              <w:rPr>
                <w:rFonts w:ascii="Times New Roman" w:hAnsi="Times New Roman" w:cs="Times New Roman"/>
                <w:i/>
                <w:iCs/>
                <w:sz w:val="20"/>
                <w:szCs w:val="20"/>
              </w:rPr>
              <w:t>Co(</w:t>
            </w:r>
            <w:proofErr w:type="gramEnd"/>
            <w:r>
              <w:rPr>
                <w:rFonts w:ascii="Times New Roman" w:hAnsi="Times New Roman" w:cs="Times New Roman"/>
                <w:i/>
                <w:iCs/>
                <w:sz w:val="20"/>
                <w:szCs w:val="20"/>
              </w:rPr>
              <w:t>SCN)₂·cocaína]</w:t>
            </w:r>
          </w:p>
        </w:tc>
        <w:tc>
          <w:tcPr>
            <w:tcW w:w="1840" w:type="dxa"/>
          </w:tcPr>
          <w:p w14:paraId="6C0715B2" w14:textId="77777777"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 xml:space="preserve">Desaparecimento da coloração com </w:t>
            </w:r>
            <w:proofErr w:type="spellStart"/>
            <w:r>
              <w:rPr>
                <w:rFonts w:ascii="Times New Roman" w:hAnsi="Times New Roman" w:cs="Times New Roman"/>
                <w:i/>
                <w:iCs/>
                <w:sz w:val="20"/>
                <w:szCs w:val="20"/>
              </w:rPr>
              <w:t>HCl</w:t>
            </w:r>
            <w:proofErr w:type="spellEnd"/>
            <w:r>
              <w:rPr>
                <w:rFonts w:ascii="Times New Roman" w:hAnsi="Times New Roman" w:cs="Times New Roman"/>
                <w:i/>
                <w:iCs/>
                <w:sz w:val="20"/>
                <w:szCs w:val="20"/>
              </w:rPr>
              <w:t xml:space="preserve"> 10%</w:t>
            </w:r>
          </w:p>
        </w:tc>
        <w:tc>
          <w:tcPr>
            <w:tcW w:w="2268" w:type="dxa"/>
          </w:tcPr>
          <w:p w14:paraId="66D84579" w14:textId="77777777"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Reaparecimento da coloração azul na fase orgânica (</w:t>
            </w:r>
            <w:proofErr w:type="spellStart"/>
            <w:r>
              <w:rPr>
                <w:rFonts w:ascii="Times New Roman" w:hAnsi="Times New Roman" w:cs="Times New Roman"/>
                <w:i/>
                <w:iCs/>
                <w:sz w:val="20"/>
                <w:szCs w:val="20"/>
              </w:rPr>
              <w:t>CHCl</w:t>
            </w:r>
            <w:proofErr w:type="spellEnd"/>
            <w:r>
              <w:rPr>
                <w:rFonts w:ascii="Times New Roman" w:hAnsi="Times New Roman" w:cs="Times New Roman"/>
                <w:i/>
                <w:iCs/>
                <w:sz w:val="20"/>
                <w:szCs w:val="20"/>
              </w:rPr>
              <w:t>₃)</w:t>
            </w:r>
          </w:p>
        </w:tc>
        <w:tc>
          <w:tcPr>
            <w:tcW w:w="2697" w:type="dxa"/>
            <w:vMerge/>
          </w:tcPr>
          <w:p w14:paraId="11EE1DE2"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A063B7" w:rsidRPr="002E3AB8" w14:paraId="3B0107FA"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6819841D" w14:textId="77777777"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lastRenderedPageBreak/>
              <w:t>b.</w:t>
            </w:r>
          </w:p>
        </w:tc>
        <w:tc>
          <w:tcPr>
            <w:tcW w:w="2147" w:type="dxa"/>
          </w:tcPr>
          <w:p w14:paraId="35EE49E4" w14:textId="77777777"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POSITIVO</w:t>
            </w:r>
          </w:p>
        </w:tc>
        <w:tc>
          <w:tcPr>
            <w:tcW w:w="1840" w:type="dxa"/>
          </w:tcPr>
          <w:p w14:paraId="11958540" w14:textId="77777777"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268" w:type="dxa"/>
          </w:tcPr>
          <w:p w14:paraId="30259E6D" w14:textId="77777777"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697" w:type="dxa"/>
          </w:tcPr>
          <w:p w14:paraId="2E3B7B96" w14:textId="77777777"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 xml:space="preserve">PRESUNTIVO POSITIVO para alcaloide </w:t>
            </w:r>
            <w:proofErr w:type="spellStart"/>
            <w:r>
              <w:rPr>
                <w:rFonts w:ascii="Times New Roman" w:hAnsi="Times New Roman" w:cs="Times New Roman"/>
                <w:b/>
                <w:bCs/>
                <w:sz w:val="20"/>
                <w:szCs w:val="20"/>
              </w:rPr>
              <w:t>tropânico</w:t>
            </w:r>
            <w:proofErr w:type="spellEnd"/>
          </w:p>
        </w:tc>
      </w:tr>
    </w:tbl>
    <w:p w14:paraId="319BDD89" w14:textId="77777777" w:rsidR="008E04B3" w:rsidRPr="00B674A3" w:rsidRDefault="008E04B3" w:rsidP="008E04B3">
      <w:pPr>
        <w:spacing w:before="80" w:after="80"/>
        <w:rPr>
          <w:rFonts w:ascii="Times New Roman" w:hAnsi="Times New Roman" w:cs="Times New Roman"/>
          <w:sz w:val="20"/>
          <w:szCs w:val="20"/>
        </w:rPr>
      </w:pPr>
      <w:r>
        <w:rPr>
          <w:rStyle w:val="Forte"/>
          <w:rFonts w:ascii="Times New Roman" w:hAnsi="Times New Roman" w:cs="Times New Roman"/>
          <w:sz w:val="20"/>
          <w:szCs w:val="20"/>
        </w:rPr>
        <w:t>Tabela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Comportamento reacional das amostras no Scott modificado.</w:t>
      </w:r>
    </w:p>
    <w:p w14:paraId="438E90D5" w14:textId="77777777" w:rsidR="00533532" w:rsidRPr="004622F5" w:rsidRDefault="00533532" w:rsidP="004622F5">
      <w:pPr>
        <w:jc w:val="both"/>
        <w:rPr>
          <w:rFonts w:ascii="Times New Roman" w:hAnsi="Times New Roman" w:cs="Times New Roman"/>
          <w:sz w:val="24"/>
          <w:szCs w:val="24"/>
        </w:rPr>
      </w:pPr>
    </w:p>
    <w:p w14:paraId="4F5720D5" w14:textId="77777777"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3.2.   Análise por FTIR-ATR — Item b.</w:t>
      </w:r>
    </w:p>
    <w:p w14:paraId="5C9362F8"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p w14:paraId="1D48AAE6" w14:textId="77777777" w:rsidR="005B0333" w:rsidRDefault="0062600F">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seguir).</w:t>
      </w:r>
    </w:p>
    <w:p w14:paraId="42B1881A" w14:textId="77777777" w:rsidR="000D07D6" w:rsidRDefault="000D07D6">
      <w:pPr>
        <w:pStyle w:val="PargrafodaLista"/>
        <w:spacing w:before="80" w:after="80"/>
        <w:jc w:val="both"/>
        <w:rPr>
          <w:rFonts w:ascii="Times New Roman" w:hAnsi="Times New Roman" w:cs="Times New Roman"/>
          <w:sz w:val="24"/>
          <w:szCs w:val="24"/>
        </w:rPr>
      </w:pPr>
    </w:p>
    <w:p w14:paraId="07D0F520" w14:textId="40456E9E" w:rsidR="005B0333" w:rsidRDefault="0062600F">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da amostra, espectro de referência e tabela de metadados]</w:t>
      </w:r>
    </w:p>
    <w:p w14:paraId="76588F9C" w14:textId="2FBF2C15" w:rsidR="005B0333" w:rsidRDefault="0062600F">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540AE4EA" w14:textId="77777777" w:rsidR="000D07D6" w:rsidRDefault="000D07D6">
      <w:pPr>
        <w:pStyle w:val="PargrafodaLista"/>
        <w:spacing w:before="80" w:after="80"/>
        <w:jc w:val="both"/>
      </w:pP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25060EE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E8A3C59"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5839F2BB"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4221C5F4"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24B3E933"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58DA619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476E22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0FCDCB8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6505D514"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2BCC54B5"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43CDDB75"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4CDDF242"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79A3AE1B"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75B43BD"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3425BF0"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1EDD8E3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B68E61A"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1250620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30CDF75F"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897B3E7"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45A69D55"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34A4CF82"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31B982AC"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34D6CF29"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2FD62718"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41500DA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3EEA903"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15D6977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647E16C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543CF356"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37295ABF" w14:textId="77777777" w:rsidR="00397A29" w:rsidRPr="007A6772" w:rsidRDefault="00397A29" w:rsidP="00397A29">
      <w:pPr>
        <w:spacing w:before="80" w:after="80"/>
        <w:rPr>
          <w:rFonts w:ascii="Times New Roman" w:hAnsi="Times New Roman" w:cs="Times New Roman"/>
          <w:sz w:val="20"/>
          <w:szCs w:val="20"/>
        </w:rPr>
      </w:pPr>
      <w:r>
        <w:rPr>
          <w:rStyle w:val="Forte"/>
          <w:rFonts w:ascii="Times New Roman" w:hAnsi="Times New Roman" w:cs="Times New Roman"/>
          <w:sz w:val="20"/>
          <w:szCs w:val="20"/>
        </w:rPr>
        <w:t>Tabela 4</w:t>
      </w:r>
      <w:r>
        <w:rPr>
          <w:rStyle w:val="Forte"/>
          <w:rFonts w:ascii="Times New Roman" w:hAnsi="Times New Roman" w:cs="Times New Roman"/>
          <w:i/>
          <w:sz w:val="20"/>
          <w:szCs w:val="20"/>
        </w:rPr>
        <w:t>.</w:t>
      </w:r>
      <w:r>
        <w:rPr>
          <w:rFonts w:ascii="Times New Roman" w:hAnsi="Times New Roman" w:cs="Times New Roman"/>
          <w:i/>
          <w:sz w:val="20"/>
          <w:szCs w:val="20"/>
        </w:rPr>
        <w:t xml:space="preserve"> Bandas espectrais diagnósticas — FTIR-ATR — Cloridrato de Cocaína. A banda N⁺–H (~2700–2400 cm⁻¹), marcada em vermelho, é diagnóstica e diferencia inequivocamente a forma sal da forma base.</w:t>
      </w:r>
    </w:p>
    <w:p w14:paraId="488B345E"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FCA7F8" wp14:editId="56C4D299">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1F64D1F7" w14:textId="77777777" w:rsidR="00397A29" w:rsidRPr="007D5047"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da </w:t>
      </w:r>
      <w:proofErr w:type="spellStart"/>
      <w:r>
        <w:rPr>
          <w:rFonts w:ascii="Times New Roman" w:hAnsi="Times New Roman" w:cs="Times New Roman"/>
          <w:b/>
          <w:bCs/>
          <w:i/>
          <w:iCs/>
          <w:sz w:val="20"/>
          <w:szCs w:val="20"/>
        </w:rPr>
        <w:t>Cocaína.HCl</w:t>
      </w:r>
      <w:proofErr w:type="spellEnd"/>
    </w:p>
    <w:p w14:paraId="65D69C78" w14:textId="77777777" w:rsidR="00A05F41" w:rsidRPr="00B043CE" w:rsidRDefault="00A05F41" w:rsidP="00A05F4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4"/>
      </w:r>
    </w:p>
    <w:p w14:paraId="753D9237" w14:textId="77777777"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 xml:space="preserve">Categoria </w:t>
      </w:r>
      <w:r>
        <w:rPr>
          <w:rFonts w:ascii="Times New Roman" w:hAnsi="Times New Roman" w:cs="Times New Roman"/>
          <w:b/>
          <w:bCs/>
          <w:sz w:val="24"/>
          <w:szCs w:val="24"/>
        </w:rPr>
        <w:lastRenderedPageBreak/>
        <w:t>A/SWGDRUG</w:t>
      </w:r>
      <w:r>
        <w:rPr>
          <w:rFonts w:ascii="Times New Roman" w:hAnsi="Times New Roman" w:cs="Times New Roman"/>
          <w:sz w:val="24"/>
          <w:szCs w:val="24"/>
        </w:rPr>
        <w:t>), em conformidade com o POP SENASP/MJ nº 9.09 (2024) e as diretrizes SWGDRUG Rev. 8.1 (2022) —, conclui-se que:</w:t>
      </w:r>
    </w:p>
    <w:p w14:paraId="561F3407"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72C867ED"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061BC7B0"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E374AFE"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0D47E9C2"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DETECTOU</w:t>
            </w:r>
            <w:r>
              <w:rPr>
                <w:rFonts w:ascii="Times New Roman" w:hAnsi="Times New Roman" w:cs="Times New Roman"/>
                <w:b w:val="0"/>
                <w:bCs w:val="0"/>
                <w:sz w:val="24"/>
                <w:szCs w:val="24"/>
              </w:rPr>
              <w:t xml:space="preserve"> a presença de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 </w:t>
            </w:r>
            <w:proofErr w:type="spellStart"/>
            <w:r>
              <w:rPr>
                <w:rFonts w:ascii="Times New Roman" w:hAnsi="Times New Roman" w:cs="Times New Roman"/>
                <w:b w:val="0"/>
                <w:bCs w:val="0"/>
                <w:sz w:val="24"/>
                <w:szCs w:val="24"/>
              </w:rPr>
              <w:t>Benzoilmetilecgonina·HCl</w:t>
            </w:r>
            <w:proofErr w:type="spellEnd"/>
            <w:r>
              <w:rPr>
                <w:rFonts w:ascii="Times New Roman" w:hAnsi="Times New Roman" w:cs="Times New Roman"/>
                <w:b w:val="0"/>
                <w:bCs w:val="0"/>
                <w:sz w:val="24"/>
                <w:szCs w:val="24"/>
              </w:rPr>
              <w:t xml:space="preserve"> (C₁₇H₂₁NO₄·</w:t>
            </w:r>
            <w:proofErr w:type="spellStart"/>
            <w:r>
              <w:rPr>
                <w:rFonts w:ascii="Times New Roman" w:hAnsi="Times New Roman" w:cs="Times New Roman"/>
                <w:b w:val="0"/>
                <w:bCs w:val="0"/>
                <w:sz w:val="24"/>
                <w:szCs w:val="24"/>
              </w:rPr>
              <w:t>HCl</w:t>
            </w:r>
            <w:proofErr w:type="spellEnd"/>
            <w:r>
              <w:rPr>
                <w:rFonts w:ascii="Times New Roman" w:hAnsi="Times New Roman" w:cs="Times New Roman"/>
                <w:b w:val="0"/>
                <w:bCs w:val="0"/>
                <w:sz w:val="24"/>
                <w:szCs w:val="24"/>
              </w:rPr>
              <w:t xml:space="preserve">, PM 339,8 g/mol) no material sólido branco examinado. </w:t>
            </w:r>
          </w:p>
          <w:p w14:paraId="1ADF784B" w14:textId="77777777" w:rsidR="00397A29" w:rsidRPr="00505BB0" w:rsidRDefault="00397A29" w:rsidP="00AC070B">
            <w:pPr>
              <w:rPr>
                <w:rFonts w:ascii="Times New Roman" w:hAnsi="Times New Roman" w:cs="Times New Roman"/>
                <w:b w:val="0"/>
                <w:bCs w:val="0"/>
                <w:sz w:val="24"/>
                <w:szCs w:val="24"/>
              </w:rPr>
            </w:pPr>
          </w:p>
          <w:p w14:paraId="0A168D4C"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é substância de ação entorpecente/psicotrópica, apta a produzir dependência física e/ou psíquica, relacionada na </w:t>
            </w:r>
            <w:r>
              <w:rPr>
                <w:rFonts w:ascii="Times New Roman" w:hAnsi="Times New Roman" w:cs="Times New Roman"/>
                <w:sz w:val="24"/>
                <w:szCs w:val="24"/>
              </w:rPr>
              <w:t>Lista F1</w:t>
            </w:r>
            <w:r>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A44B675" w14:textId="77777777" w:rsidR="00397A29" w:rsidRPr="00B043CE" w:rsidRDefault="00397A29" w:rsidP="00397A29">
      <w:pPr>
        <w:rPr>
          <w:rFonts w:ascii="Times New Roman" w:hAnsi="Times New Roman" w:cs="Times New Roman"/>
          <w:sz w:val="24"/>
          <w:szCs w:val="24"/>
        </w:rPr>
      </w:pPr>
      <w:bookmarkStart w:id="1" w:name="_Hlk231540727"/>
    </w:p>
    <w:bookmarkEnd w:id="1"/>
    <w:p w14:paraId="49188B95"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4DAFAE3E"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236AFE5"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7BC559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3F2B7BBC"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7BD461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7069A7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235FA80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[DEMANDA]</w:t>
            </w:r>
          </w:p>
        </w:tc>
      </w:tr>
      <w:tr w:rsidR="00533532" w:rsidRPr="00C371C9" w14:paraId="5FBD0F4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23367D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7C839A2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76FEE41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01432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127A403B"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35E73E06"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2B80F2D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0CF1DE3B"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7F1D0BA2"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34335B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46F5BAE" w14:textId="5B292879" w:rsidR="00533532" w:rsidRPr="000D07D6" w:rsidRDefault="000D07D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D07D6">
              <w:rPr>
                <w:rFonts w:ascii="Times New Roman" w:hAnsi="Times New Roman" w:cs="Times New Roman"/>
                <w:sz w:val="20"/>
                <w:szCs w:val="20"/>
              </w:rPr>
              <w:t>[EMISSOR]</w:t>
            </w:r>
          </w:p>
        </w:tc>
      </w:tr>
      <w:tr w:rsidR="00533532" w:rsidRPr="00C371C9" w14:paraId="3DD45656"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8544C8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75078DB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4B52694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600E53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3B65CC11"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[ENVOLVIDO — CPF]</w:t>
            </w:r>
          </w:p>
        </w:tc>
      </w:tr>
      <w:tr w:rsidR="00533532" w:rsidRPr="00C371C9" w14:paraId="5D4982C4"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39E0FC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51D11618"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682A7031" w14:textId="77777777" w:rsidR="00533532" w:rsidRPr="00C371C9" w:rsidRDefault="00533532" w:rsidP="00C371C9">
      <w:pPr>
        <w:rPr>
          <w:rFonts w:ascii="Times New Roman" w:hAnsi="Times New Roman" w:cs="Times New Roman"/>
        </w:rPr>
      </w:pPr>
    </w:p>
    <w:p w14:paraId="3F1F0395"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3245AFA8"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3D947A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619F2B1C"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318573B"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6709BB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1913AE74" w14:textId="77777777" w:rsidR="00533532" w:rsidRPr="004F1B0C" w:rsidRDefault="006B55E3"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1B0C">
              <w:rPr>
                <w:rStyle w:val="Forte"/>
                <w:rFonts w:ascii="Times New Roman" w:hAnsi="Times New Roman" w:cs="Times New Roman"/>
                <w:b w:val="0"/>
                <w:bCs w:val="0"/>
                <w:sz w:val="20"/>
                <w:szCs w:val="20"/>
              </w:rPr>
              <w:t>–</w:t>
            </w:r>
            <w:r w:rsidRPr="004F1B0C">
              <w:rPr>
                <w:sz w:val="20"/>
                <w:szCs w:val="20"/>
              </w:rPr>
              <w:t xml:space="preserve"> </w:t>
            </w:r>
            <w:r w:rsidRPr="004F1B0C">
              <w:rPr>
                <w:rStyle w:val="Refdenotaderodap"/>
                <w:rFonts w:ascii="Times New Roman" w:hAnsi="Times New Roman" w:cs="Times New Roman"/>
                <w:sz w:val="20"/>
                <w:szCs w:val="20"/>
              </w:rPr>
              <w:footnoteReference w:id="5"/>
            </w:r>
          </w:p>
        </w:tc>
      </w:tr>
      <w:tr w:rsidR="00533532" w:rsidRPr="00C371C9" w14:paraId="3B28B51E"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7D74A0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193FAEFC" w14:textId="0360BB5D" w:rsidR="00533532" w:rsidRPr="00C371C9" w:rsidRDefault="000D07D6"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D07D6">
              <w:rPr>
                <w:rFonts w:ascii="Times New Roman" w:hAnsi="Times New Roman" w:cs="Times New Roman"/>
                <w:sz w:val="20"/>
                <w:szCs w:val="20"/>
              </w:rPr>
              <w:t>[DD_RECEB]</w:t>
            </w:r>
            <w:r>
              <w:rPr>
                <w:rFonts w:ascii="Times New Roman" w:hAnsi="Times New Roman" w:cs="Times New Roman"/>
                <w:b/>
                <w:bCs/>
                <w:sz w:val="24"/>
                <w:szCs w:val="24"/>
              </w:rPr>
              <w:t xml:space="preserve"> </w:t>
            </w:r>
            <w:r w:rsidR="004A4051">
              <w:rPr>
                <w:rFonts w:ascii="Times New Roman" w:hAnsi="Times New Roman" w:cs="Times New Roman"/>
                <w:sz w:val="20"/>
                <w:szCs w:val="20"/>
              </w:rPr>
              <w:t>de [MÊS] de [ANO]</w:t>
            </w:r>
          </w:p>
        </w:tc>
      </w:tr>
      <w:tr w:rsidR="00533532" w:rsidRPr="00C371C9" w14:paraId="0D49229F"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3B902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0BB080C8"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183FDE84"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9C1D67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C4CC575" w14:textId="5129C687" w:rsidR="00533532" w:rsidRPr="000D07D6" w:rsidRDefault="000D07D6"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D07D6">
              <w:rPr>
                <w:rFonts w:ascii="Times New Roman" w:eastAsia="Times New Roman" w:hAnsi="Times New Roman" w:cs="Times New Roman"/>
                <w:sz w:val="20"/>
                <w:szCs w:val="20"/>
              </w:rPr>
              <w:t>[DEMANDA_PRELIM]</w:t>
            </w:r>
          </w:p>
        </w:tc>
      </w:tr>
      <w:tr w:rsidR="00533532" w:rsidRPr="00C371C9" w14:paraId="6232A3F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482C9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1CE3975E" w14:textId="3DD738C8" w:rsidR="00533532" w:rsidRPr="000D07D6" w:rsidRDefault="000D07D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D07D6">
              <w:rPr>
                <w:rFonts w:ascii="Times New Roman" w:hAnsi="Times New Roman" w:cs="Times New Roman"/>
                <w:sz w:val="20"/>
                <w:szCs w:val="20"/>
              </w:rPr>
              <w:t>[ENV_ENTRADA]</w:t>
            </w:r>
          </w:p>
        </w:tc>
      </w:tr>
      <w:tr w:rsidR="00533532" w:rsidRPr="00C371C9" w14:paraId="63F8A0E6"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BC880F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6608357B" w14:textId="77777777" w:rsidR="00533532" w:rsidRPr="00F51FB4" w:rsidRDefault="00F51FB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51FB4">
              <w:rPr>
                <w:rFonts w:ascii="Times New Roman" w:hAnsi="Times New Roman" w:cs="Times New Roman"/>
                <w:sz w:val="20"/>
                <w:szCs w:val="20"/>
              </w:rPr>
              <w:t>[ENV_POS_DEF]</w:t>
            </w:r>
          </w:p>
        </w:tc>
      </w:tr>
      <w:tr w:rsidR="00533532" w:rsidRPr="00C371C9" w14:paraId="1BEC5A7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441830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704B82F8"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1ABD8686"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557FA3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2B2738DF"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73DE8F67" w14:textId="77777777" w:rsidR="00533532" w:rsidRPr="00C371C9" w:rsidRDefault="00533532" w:rsidP="00C371C9">
      <w:pPr>
        <w:rPr>
          <w:rFonts w:ascii="Times New Roman" w:hAnsi="Times New Roman" w:cs="Times New Roman"/>
        </w:rPr>
      </w:pPr>
    </w:p>
    <w:p w14:paraId="3C30629F"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7B7ECA98"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7443F8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00453E97"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17D703D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A2F1BB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0C46EBF6" w14:textId="77777777" w:rsidR="00533532" w:rsidRPr="00A01AC6"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branco (item b.)</w:t>
            </w:r>
          </w:p>
        </w:tc>
      </w:tr>
      <w:tr w:rsidR="00A01AC6" w:rsidRPr="000C3687" w14:paraId="786050F4"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2EBB80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6A41C646" w14:textId="77777777" w:rsidR="00A01AC6" w:rsidRPr="000C3687"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FTIR-ATR (Cat. A/SWGDRUG)</w:t>
            </w:r>
          </w:p>
        </w:tc>
      </w:tr>
      <w:tr w:rsidR="00A01AC6" w:rsidRPr="00C371C9" w14:paraId="3C921D5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0EA591" w14:textId="77777777"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26F26825" w14:textId="77777777"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2C41A2D2"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C7BB060"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402A27B2" w14:textId="61E54C90" w:rsidR="00A01AC6" w:rsidRPr="00C371C9" w:rsidRDefault="000D07D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D100CE1" w14:textId="77777777" w:rsidR="00533532" w:rsidRPr="00C371C9" w:rsidRDefault="00533532" w:rsidP="00C371C9">
      <w:pPr>
        <w:rPr>
          <w:rFonts w:ascii="Times New Roman" w:hAnsi="Times New Roman" w:cs="Times New Roman"/>
        </w:rPr>
      </w:pPr>
    </w:p>
    <w:p w14:paraId="1BCB1597"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59081374" w14:textId="77777777"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25DF1B9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lastRenderedPageBreak/>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7B3135A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29E45FC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393AFE9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274550D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293A9F6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4902B3D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07BB505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3806341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6109DE7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52A8D30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31B46BD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0324F75A" w14:textId="77777777" w:rsidR="000F0809" w:rsidRDefault="000F0809" w:rsidP="000F080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3C31FA28" w14:textId="77777777" w:rsidR="000F0809" w:rsidRDefault="000F0809" w:rsidP="000F080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Secretaria de Segurança Pública. Instrução Normativa nº 04/2025/SSP/PI, de 22 de novembro de 2025. Regula a integração DEPOC/PC-PI e a cadeia de custódia de vestígios. Diário Oficial do Estado do Piauí, n. 229, 28 nov. 2025.</w:t>
      </w:r>
    </w:p>
    <w:p w14:paraId="6456AECB" w14:textId="77777777" w:rsidR="000F0809" w:rsidRDefault="000F0809" w:rsidP="000F080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Departamento de Polícia Científica. ITU-01/2024/CCV-DEPOC, de 21 de outubro de 2024. Instrução Técnica sobre embalagens-padrão rastreáveis e formulário de avaliação de vestígios (FAV). Teresina: DEPOC/PC-PI, 2024.</w:t>
      </w:r>
    </w:p>
    <w:p w14:paraId="7198F435" w14:textId="143CB277" w:rsidR="00533532"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13DD99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376233C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4D68244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2F44248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643A81D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3933E44"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32C87C8A"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505E78B3" w14:textId="537F997A"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sidR="000D07D6" w:rsidRPr="000D07D6">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53493834" w14:textId="77777777" w:rsidR="00533532" w:rsidRPr="00C371C9" w:rsidRDefault="00533532" w:rsidP="00C371C9">
      <w:pPr>
        <w:jc w:val="both"/>
        <w:rPr>
          <w:rFonts w:ascii="Times New Roman" w:hAnsi="Times New Roman" w:cs="Times New Roman"/>
          <w:sz w:val="24"/>
          <w:szCs w:val="24"/>
        </w:rPr>
      </w:pPr>
    </w:p>
    <w:p w14:paraId="3AFE002D"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3D599DA8"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320211AB"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146CAC95"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28259357" w14:textId="77777777" w:rsidR="00533532" w:rsidRPr="00C371C9" w:rsidRDefault="00533532" w:rsidP="00C371C9">
      <w:pPr>
        <w:rPr>
          <w:rFonts w:ascii="Times New Roman" w:hAnsi="Times New Roman" w:cs="Times New Roman"/>
        </w:rPr>
      </w:pPr>
    </w:p>
    <w:sectPr w:rsidR="00533532" w:rsidRPr="00C371C9"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75E55" w14:textId="77777777" w:rsidR="001F4B4E" w:rsidRDefault="001F4B4E">
      <w:r>
        <w:separator/>
      </w:r>
    </w:p>
  </w:endnote>
  <w:endnote w:type="continuationSeparator" w:id="0">
    <w:p w14:paraId="1DA265EA" w14:textId="77777777" w:rsidR="001F4B4E" w:rsidRDefault="001F4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9B3A1" w14:textId="77777777" w:rsidR="008E04B3" w:rsidRDefault="008E04B3">
    <w:pPr>
      <w:pStyle w:val="Rodap"/>
    </w:pPr>
    <w:r>
      <w:rPr>
        <w:noProof/>
      </w:rPr>
      <w:drawing>
        <wp:anchor distT="0" distB="0" distL="114300" distR="114300" simplePos="0" relativeHeight="251664384" behindDoc="0" locked="0" layoutInCell="1" allowOverlap="1" wp14:anchorId="47F32EC1" wp14:editId="57558684">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57AD9" w14:textId="77777777" w:rsidR="001F4B4E" w:rsidRDefault="001F4B4E">
      <w:r>
        <w:separator/>
      </w:r>
    </w:p>
  </w:footnote>
  <w:footnote w:type="continuationSeparator" w:id="0">
    <w:p w14:paraId="13F8D2C4" w14:textId="77777777" w:rsidR="001F4B4E" w:rsidRDefault="001F4B4E">
      <w:r>
        <w:continuationSeparator/>
      </w:r>
    </w:p>
  </w:footnote>
  <w:footnote w:id="1">
    <w:p w14:paraId="07165F15"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004A560A" w14:textId="77777777" w:rsidR="008E04B3" w:rsidRPr="009B1A34"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w:t>
      </w:r>
      <w:r w:rsidRPr="00A409C6">
        <w:rPr>
          <w:rFonts w:ascii="Times New Roman" w:hAnsi="Times New Roman" w:cs="Times New Roman"/>
          <w:sz w:val="16"/>
          <w:szCs w:val="16"/>
          <w:lang w:val="en-US"/>
        </w:rPr>
        <w:t xml:space="preserve">J. Braz. </w:t>
      </w:r>
      <w:r w:rsidRPr="009B1A34">
        <w:rPr>
          <w:rFonts w:ascii="Times New Roman" w:hAnsi="Times New Roman" w:cs="Times New Roman"/>
          <w:sz w:val="16"/>
          <w:szCs w:val="16"/>
          <w:lang w:val="en-US"/>
        </w:rPr>
        <w:t>Chem. Soc., v. 24, n. 3, p. 507–517, 2013.</w:t>
      </w:r>
    </w:p>
  </w:footnote>
  <w:footnote w:id="3">
    <w:p w14:paraId="3ED373F5" w14:textId="77777777"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51144BEE" w14:textId="77777777" w:rsidR="00A05F41" w:rsidRPr="00C223E1" w:rsidRDefault="00A05F41" w:rsidP="000D07D6">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 w:id="5">
    <w:p w14:paraId="12B1CE18" w14:textId="77777777" w:rsidR="006B55E3" w:rsidRPr="00C223E1" w:rsidRDefault="006B55E3" w:rsidP="006B55E3">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6B55E3">
        <w:rPr>
          <w:rFonts w:ascii="Times New Roman" w:hAnsi="Times New Roman" w:cs="Times New Roman"/>
          <w:sz w:val="16"/>
          <w:szCs w:val="16"/>
        </w:rPr>
        <w:t xml:space="preserve">Material retido na unidade policial requisitante; exame preliminar realizado </w:t>
      </w:r>
      <w:r w:rsidRPr="006B55E3">
        <w:rPr>
          <w:rFonts w:ascii="Times New Roman" w:hAnsi="Times New Roman" w:cs="Times New Roman"/>
          <w:i/>
          <w:iCs/>
          <w:sz w:val="16"/>
          <w:szCs w:val="16"/>
        </w:rPr>
        <w:t>in loco</w:t>
      </w:r>
      <w:r w:rsidRPr="006B55E3">
        <w:rPr>
          <w:rFonts w:ascii="Times New Roman" w:hAnsi="Times New Roman" w:cs="Times New Roman"/>
          <w:sz w:val="16"/>
          <w:szCs w:val="16"/>
        </w:rPr>
        <w:t xml:space="preserve"> pelo Perito Criminal plantonista — vide seção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A9F6B" w14:textId="4791A4BA"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000D07D6">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51E27D06"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107218B5" w14:textId="77777777" w:rsidTr="008E04B3">
      <w:tc>
        <w:tcPr>
          <w:tcW w:w="1110" w:type="dxa"/>
          <w:vAlign w:val="center"/>
          <w:hideMark/>
        </w:tcPr>
        <w:p w14:paraId="3E8F6C25"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41C6D60" wp14:editId="419CD531">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1F348A34"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38AB800F" wp14:editId="265C8F53">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3DA6C0A9"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139F015"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66BC238D"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5AACD4D4" w14:textId="77777777" w:rsidR="008E04B3" w:rsidRPr="008F170F" w:rsidRDefault="001F4B4E"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336DA57A" w14:textId="77777777" w:rsidR="008E04B3" w:rsidRPr="008F170F" w:rsidRDefault="008E04B3" w:rsidP="00572A17">
          <w:pPr>
            <w:pStyle w:val="Contedodatabela"/>
            <w:ind w:left="-79"/>
            <w:rPr>
              <w:rFonts w:cs="Times New Roman"/>
            </w:rPr>
          </w:pPr>
        </w:p>
      </w:tc>
    </w:tr>
  </w:tbl>
  <w:p w14:paraId="042A9400" w14:textId="77777777" w:rsidR="008E04B3" w:rsidRDefault="008E04B3" w:rsidP="00572A17">
    <w:pPr>
      <w:pStyle w:val="Cabealho"/>
      <w:pBdr>
        <w:bottom w:val="single" w:sz="12" w:space="1" w:color="auto"/>
      </w:pBdr>
    </w:pPr>
  </w:p>
  <w:p w14:paraId="707C78F9"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C3687"/>
    <w:rsid w:val="000D07D6"/>
    <w:rsid w:val="000F0809"/>
    <w:rsid w:val="000F7D23"/>
    <w:rsid w:val="00121D7C"/>
    <w:rsid w:val="00170E58"/>
    <w:rsid w:val="001C73AF"/>
    <w:rsid w:val="001F4B4E"/>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1B0C"/>
    <w:rsid w:val="004F5D08"/>
    <w:rsid w:val="005233A2"/>
    <w:rsid w:val="00533532"/>
    <w:rsid w:val="00572A17"/>
    <w:rsid w:val="00584034"/>
    <w:rsid w:val="005B0333"/>
    <w:rsid w:val="005F5A2A"/>
    <w:rsid w:val="0062600F"/>
    <w:rsid w:val="00640D77"/>
    <w:rsid w:val="006B55E3"/>
    <w:rsid w:val="006E3713"/>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36FA8"/>
    <w:rsid w:val="00956B3E"/>
    <w:rsid w:val="00966958"/>
    <w:rsid w:val="009B1A34"/>
    <w:rsid w:val="009F19ED"/>
    <w:rsid w:val="00A01AC6"/>
    <w:rsid w:val="00A05F41"/>
    <w:rsid w:val="00A063B7"/>
    <w:rsid w:val="00A409C6"/>
    <w:rsid w:val="00A45005"/>
    <w:rsid w:val="00AA686F"/>
    <w:rsid w:val="00B043CE"/>
    <w:rsid w:val="00B63C3B"/>
    <w:rsid w:val="00B674A3"/>
    <w:rsid w:val="00BF5F05"/>
    <w:rsid w:val="00C21D74"/>
    <w:rsid w:val="00C223E1"/>
    <w:rsid w:val="00C238E6"/>
    <w:rsid w:val="00C371C9"/>
    <w:rsid w:val="00C41329"/>
    <w:rsid w:val="00CE1DD4"/>
    <w:rsid w:val="00CE519A"/>
    <w:rsid w:val="00D50476"/>
    <w:rsid w:val="00D75474"/>
    <w:rsid w:val="00DB2058"/>
    <w:rsid w:val="00E57B80"/>
    <w:rsid w:val="00E61541"/>
    <w:rsid w:val="00E6228B"/>
    <w:rsid w:val="00E74FC0"/>
    <w:rsid w:val="00EB22AF"/>
    <w:rsid w:val="00ED1870"/>
    <w:rsid w:val="00EF72B4"/>
    <w:rsid w:val="00F07CCF"/>
    <w:rsid w:val="00F51FB4"/>
    <w:rsid w:val="00F755A6"/>
    <w:rsid w:val="00FA6052"/>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9E514E"/>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24251">
      <w:bodyDiv w:val="1"/>
      <w:marLeft w:val="0"/>
      <w:marRight w:val="0"/>
      <w:marTop w:val="0"/>
      <w:marBottom w:val="0"/>
      <w:divBdr>
        <w:top w:val="none" w:sz="0" w:space="0" w:color="auto"/>
        <w:left w:val="none" w:sz="0" w:space="0" w:color="auto"/>
        <w:bottom w:val="none" w:sz="0" w:space="0" w:color="auto"/>
        <w:right w:val="none" w:sz="0" w:space="0" w:color="auto"/>
      </w:divBdr>
    </w:div>
    <w:div w:id="902376260">
      <w:bodyDiv w:val="1"/>
      <w:marLeft w:val="0"/>
      <w:marRight w:val="0"/>
      <w:marTop w:val="0"/>
      <w:marBottom w:val="0"/>
      <w:divBdr>
        <w:top w:val="none" w:sz="0" w:space="0" w:color="auto"/>
        <w:left w:val="none" w:sz="0" w:space="0" w:color="auto"/>
        <w:bottom w:val="none" w:sz="0" w:space="0" w:color="auto"/>
        <w:right w:val="none" w:sz="0" w:space="0" w:color="auto"/>
      </w:divBdr>
    </w:div>
    <w:div w:id="1522236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2792</Words>
  <Characters>15077</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QF-PHB/NRPC</dc:creator>
  <cp:lastModifiedBy>Fausto Vasconcelos</cp:lastModifiedBy>
  <cp:revision>12</cp:revision>
  <dcterms:created xsi:type="dcterms:W3CDTF">2026-06-05T20:48:00Z</dcterms:created>
  <dcterms:modified xsi:type="dcterms:W3CDTF">2026-06-27T15:21:00Z</dcterms:modified>
</cp:coreProperties>
</file>