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6D8CB9BD" w14:textId="77777777" w:rsidR="00ED096E" w:rsidRPr="00170E58" w:rsidRDefault="00ED096E" w:rsidP="00ED096E">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[DD_RECEB]</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DEPARTAMENTO DE POLÍCIA CIENTÍFICA da POLÍCIA CIVIL DO ESTADO DO PIAUÍ,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Pr>
          <w:rFonts w:ascii="Times New Roman" w:hAnsi="Times New Roman" w:cs="Times New Roman"/>
          <w:b/>
          <w:bCs/>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8F6164">
        <w:rPr>
          <w:rFonts w:ascii="Times New Roman" w:hAnsi="Times New Roman" w:cs="Times New Roman"/>
          <w:sz w:val="24"/>
          <w:szCs w:val="24"/>
        </w:rPr>
        <w:t xml:space="preserve">Foi submetido a exame preliminar no núcleo pericial pelo Perito Criminal plantonista, referente à Demanda nº. </w:t>
      </w:r>
      <w:r w:rsidR="008F6164">
        <w:rPr>
          <w:rFonts w:ascii="Times New Roman" w:hAnsi="Times New Roman" w:cs="Times New Roman"/>
          <w:b/>
          <w:bCs/>
          <w:sz w:val="24"/>
          <w:szCs w:val="24"/>
        </w:rPr>
        <w:t>[DEMANDA_PRELIM]</w:t>
      </w:r>
      <w:r w:rsidR="008F6164">
        <w:rPr>
          <w:rFonts w:ascii="Times New Roman" w:hAnsi="Times New Roman" w:cs="Times New Roman"/>
          <w:sz w:val="24"/>
          <w:szCs w:val="24"/>
        </w:rPr>
        <w:t xml:space="preserve">. Nessa etapa, o material foi transferido para o Envelope de Vestígios/Lacre nº. </w:t>
      </w:r>
      <w:r w:rsidR="008F6164">
        <w:rPr>
          <w:rFonts w:ascii="Times New Roman" w:hAnsi="Times New Roman" w:cs="Times New Roman"/>
          <w:b/>
          <w:bCs/>
          <w:sz w:val="24"/>
          <w:szCs w:val="24"/>
        </w:rPr>
        <w:t>[ENV_POS_PRELIM]</w:t>
      </w:r>
      <w:r w:rsidR="008F6164">
        <w:rPr>
          <w:rFonts w:ascii="Times New Roman" w:hAnsi="Times New Roman" w:cs="Times New Roman"/>
          <w:sz w:val="24"/>
          <w:szCs w:val="24"/>
        </w:rPr>
        <w:t xml:space="preserve"> e encaminhado ao Setor de Química Forense para análise definitiva, em observância à cadeia de custódia da prova prevista nos arts.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8F6164" w:rsidRPr="00B674A3" w14:paraId="5BB850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r w:rsidR="008F6164" w:rsidRPr="00B674A3" w14:paraId="124389D6"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8F6164"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0"/>
                <w:szCs w:val="20"/>
              </w:rPr>
            </w:pPr>
          </w:p>
          <w:p w14:paraId="584F0021" w14:textId="77777777" w:rsidR="008F6164" w:rsidRPr="005C7103"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[MASSA_MAC]</w:t>
            </w:r>
            <w:r w:rsidRPr="005C7103">
              <w:rPr>
                <w:rFonts w:ascii="Times New Roman" w:hAnsi="Times New Roman" w:cs="Times New Roman"/>
                <w:sz w:val="20"/>
                <w:szCs w:val="20"/>
              </w:rPr>
              <w:t xml:space="preserve"> g</w:t>
            </w:r>
            <w:r>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[MASSA_MAC_EXT]</w:t>
            </w:r>
            <w:r w:rsidRPr="005C7103">
              <w:rPr>
                <w:rFonts w:ascii="Times New Roman" w:hAnsi="Times New Roman" w:cs="Times New Roman"/>
                <w:sz w:val="20"/>
                <w:szCs w:val="20"/>
              </w:rPr>
              <w:t>)</w:t>
            </w:r>
          </w:p>
          <w:p w14:paraId="3F4A5BE8" w14:textId="69C4E1B4"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5C7103">
              <w:rPr>
                <w:rFonts w:ascii="Times New Roman" w:hAnsi="Times New Roman" w:cs="Times New Roman"/>
                <w:sz w:val="20"/>
                <w:szCs w:val="20"/>
              </w:rPr>
              <w:t>massa bruta</w:t>
            </w:r>
          </w:p>
        </w:tc>
        <w:tc>
          <w:tcPr>
            <w:tcW w:w="1316" w:type="dxa"/>
          </w:tcPr>
          <w:p w14:paraId="22B4A302" w14:textId="4113AFED"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2086" w:type="dxa"/>
          </w:tcPr>
          <w:p w14:paraId="06DE4165" w14:textId="2B50E26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177F85FA" w14:textId="590A51F3"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1</w:t>
      </w:r>
      <w:r>
        <w:rPr>
          <w:rStyle w:val="Forte"/>
          <w:rFonts w:ascii="Times New Roman" w:hAnsi="Times New Roman" w:cs="Times New Roman"/>
          <w:i/>
          <w:sz w:val="20"/>
          <w:szCs w:val="20"/>
        </w:rPr>
        <w:t>.</w:t>
      </w:r>
      <w:r>
        <w:rPr>
          <w:rFonts w:ascii="Times New Roman" w:hAnsi="Times New Roman" w:cs="Times New Roman"/>
          <w:i/>
          <w:sz w:val="20"/>
          <w:szCs w:val="20"/>
        </w:rPr>
        <w:t xml:space="preserve">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B7582BE" w14:textId="77777777" w:rsidR="00A415B0" w:rsidRPr="007B71B0" w:rsidRDefault="00A415B0" w:rsidP="00A415B0">
      <w:pPr>
        <w:spacing w:before="80" w:after="80"/>
        <w:jc w:val="center"/>
        <w:rPr>
          <w:rFonts w:ascii="Times New Roman" w:hAnsi="Times New Roman" w:cs="Times New Roman"/>
          <w:i/>
          <w:iCs/>
        </w:rPr>
      </w:pPr>
      <w:r>
        <w:rPr>
          <w:rFonts w:ascii="Times New Roman" w:hAnsi="Times New Roman" w:cs="Times New Roman"/>
          <w:i/>
          <w:iCs/>
        </w:rPr>
        <w:t>[PENDENTE: inserir fotografia do material apreendido — escala milimétrica + brasão NRPC-QF]</w:t>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Style w:val="Forte"/>
          <w:rFonts w:ascii="Times New Roman" w:hAnsi="Times New Roman" w:cs="Times New Roman"/>
          <w:sz w:val="20"/>
          <w:szCs w:val="20"/>
        </w:rPr>
        <w:t>Figura 1</w:t>
      </w:r>
      <w:r>
        <w:rPr>
          <w:rStyle w:val="Forte"/>
          <w:rFonts w:ascii="Times New Roman" w:hAnsi="Times New Roman" w:cs="Times New Roman"/>
          <w:i/>
          <w:sz w:val="20"/>
          <w:szCs w:val="20"/>
        </w:rPr>
        <w:t>.</w:t>
      </w:r>
      <w:r>
        <w:rPr>
          <w:rFonts w:ascii="Times New Roman" w:hAnsi="Times New Roman" w:cs="Times New Roman"/>
          <w:i/>
          <w:sz w:val="20"/>
          <w:szCs w:val="20"/>
        </w:rPr>
        <w:t xml:space="preserve">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sidR="00F755A6">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2.0, 08/06/2026). 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Pr>
          <w:rFonts w:ascii="Times New Roman" w:hAnsi="Times New Roman" w:cs="Times New Roman"/>
          <w:b/>
          <w:sz w:val="24"/>
          <w:szCs w:val="24"/>
        </w:rPr>
        <w:t>PASSED</w:t>
      </w:r>
      <w:r>
        <w:rPr>
          <w:rFonts w:ascii="Times New Roman" w:hAnsi="Times New Roman" w:cs="Times New Roman"/>
          <w:sz w:val="24"/>
          <w:szCs w:val="24"/>
        </w:rPr>
        <w:t xml:space="preserve"> em todos os testes obrigatórios: (</w:t>
      </w:r>
      <w:r>
        <w:rPr>
          <w:rFonts w:ascii="Times New Roman" w:hAnsi="Times New Roman" w:cs="Times New Roman"/>
          <w:b/>
          <w:sz w:val="24"/>
          <w:szCs w:val="24"/>
        </w:rPr>
        <w:t>i</w:t>
      </w:r>
      <w:r>
        <w:rPr>
          <w:rFonts w:ascii="Times New Roman" w:hAnsi="Times New Roman" w:cs="Times New Roman"/>
          <w:sz w:val="24"/>
          <w:szCs w:val="24"/>
        </w:rPr>
        <w:t>) Relação Sinal/Ruído (S/N) medida: [OVP_SN_VALUE] (mínimo exigido: 150); (</w:t>
      </w:r>
      <w:r>
        <w:rPr>
          <w:rFonts w:ascii="Times New Roman" w:hAnsi="Times New Roman" w:cs="Times New Roman"/>
          <w:b/>
          <w:sz w:val="24"/>
          <w:szCs w:val="24"/>
        </w:rPr>
        <w:t>ii</w:t>
      </w:r>
      <w:r>
        <w:rPr>
          <w:rFonts w:ascii="Times New Roman" w:hAnsi="Times New Roman" w:cs="Times New Roman"/>
          <w:sz w:val="24"/>
          <w:szCs w:val="24"/>
        </w:rPr>
        <w:t>) Desvio máximo da linha 100%: [OVP_BASELINE_DEV] (máximo admissível: 2,0%); (</w:t>
      </w:r>
      <w:r>
        <w:rPr>
          <w:rFonts w:ascii="Times New Roman" w:hAnsi="Times New Roman" w:cs="Times New Roman"/>
          <w:b/>
          <w:sz w:val="24"/>
          <w:szCs w:val="24"/>
        </w:rPr>
        <w:t>iii</w:t>
      </w:r>
      <w:r>
        <w:rPr>
          <w:rFonts w:ascii="Times New Roman" w:hAnsi="Times New Roman" w:cs="Times New Roman"/>
          <w:sz w:val="24"/>
          <w:szCs w:val="24"/>
        </w:rPr>
        <w:t>) Exatidão de número de onda verificada com poliestireno padrão: desvio medido de [OVP_WAVENUMBER_DEV] (máximo admissível: ±0,50 cm⁻¹). A medição do(s) item(ns) está compreendida dentro da janela de validade deste protocolo. Os resultados atestam plena conformidade instrumental à época da realização dos exames.</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4F64A186"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5AFB6F3A"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Frações representativas foram submetidas ao ensaio colorimétrico com sal Fast Blue B (cloreto de di-</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 xml:space="preserve">-anisidina tetrazolio)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p.a. </w:t>
      </w:r>
    </w:p>
    <w:p w14:paraId="2110AC0C" w14:textId="77777777" w:rsidR="007C63D7" w:rsidRDefault="007C63D7" w:rsidP="007C63D7">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sidRPr="004C4BDD">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mg/mL), aguardar 2 minutos; </w:t>
      </w:r>
      <w:r w:rsidRPr="004C4BDD">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vermelho-avermelhada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hexânico.</w:t>
      </w:r>
    </w:p>
    <w:p w14:paraId="4ECF6997" w14:textId="77777777" w:rsidR="007C63D7" w:rsidRPr="00E6228B" w:rsidRDefault="007C63D7" w:rsidP="007C63D7">
      <w:pPr>
        <w:pStyle w:val="SemEspaamento"/>
      </w:pPr>
    </w:p>
    <w:bookmarkEnd w:id="1"/>
    <w:p w14:paraId="0612A10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lastRenderedPageBreak/>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terpenoides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terpênico da espécie (mirceno, β-cariofileno), persistente mesmo após ressecamento em virtude da baixa pressão de vapor desses compostos a temperatura ambiente.</w:t>
      </w:r>
    </w:p>
    <w:p w14:paraId="7E0D391B"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venação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w:t>
      </w:r>
      <w:r w:rsidRPr="007C63D7">
        <w:rPr>
          <w:rFonts w:ascii="Times New Roman" w:hAnsi="Times New Roman" w:cs="Times New Roman"/>
          <w:sz w:val="20"/>
          <w:szCs w:val="20"/>
        </w:rPr>
        <w:t xml:space="preserve">compatível com </w:t>
      </w:r>
      <w:r w:rsidRPr="007C63D7">
        <w:rPr>
          <w:rStyle w:val="nfase"/>
          <w:rFonts w:ascii="Times New Roman" w:hAnsi="Times New Roman" w:cs="Times New Roman"/>
          <w:sz w:val="20"/>
          <w:szCs w:val="20"/>
        </w:rPr>
        <w:t>Cannabis</w:t>
      </w:r>
      <w:r w:rsidRPr="007C63D7">
        <w:rPr>
          <w:rFonts w:ascii="Times New Roman" w:hAnsi="Times New Roman" w:cs="Times New Roman"/>
          <w:sz w:val="20"/>
          <w:szCs w:val="20"/>
        </w:rPr>
        <w:t xml:space="preserve"> sp.</w:t>
      </w:r>
    </w:p>
    <w:p w14:paraId="7D19FB5D" w14:textId="77777777" w:rsidR="007C63D7" w:rsidRDefault="007C63D7" w:rsidP="007C63D7">
      <w:pPr>
        <w:jc w:val="both"/>
        <w:rPr>
          <w:rFonts w:ascii="Times New Roman" w:hAnsi="Times New Roman" w:cs="Times New Roman"/>
        </w:rPr>
      </w:pPr>
    </w:p>
    <w:p w14:paraId="3D12081A" w14:textId="324ADD56" w:rsidR="00256A8B" w:rsidRPr="007C63D7" w:rsidRDefault="007C63D7" w:rsidP="007C63D7">
      <w:pPr>
        <w:jc w:val="both"/>
        <w:rPr>
          <w:rFonts w:ascii="Times New Roman" w:hAnsi="Times New Roman" w:cs="Times New Roman"/>
          <w:b/>
        </w:rPr>
      </w:pPr>
      <w:r w:rsidRPr="007C63D7">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7C63D7">
        <w:rPr>
          <w:rFonts w:ascii="Times New Roman" w:hAnsi="Times New Roman" w:cs="Times New Roman"/>
          <w:sz w:val="24"/>
          <w:szCs w:val="24"/>
        </w:rPr>
        <w:t>6</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2610CD01" w14:textId="77777777" w:rsidR="002A775C" w:rsidRDefault="004C4BDD" w:rsidP="002A775C">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 xml:space="preserve">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w:t>
      </w:r>
      <w:r w:rsidR="002A775C">
        <w:rPr>
          <w:rFonts w:ascii="Times New Roman" w:hAnsi="Times New Roman" w:cs="Times New Roman"/>
          <w:sz w:val="24"/>
          <w:szCs w:val="24"/>
        </w:rPr>
        <w:t>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D955E60" w14:textId="77777777" w:rsidR="002A775C" w:rsidRPr="007B71B0" w:rsidRDefault="002A775C" w:rsidP="002A775C">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r>
        <w:rPr>
          <w:rStyle w:val="Forte"/>
          <w:rFonts w:ascii="Times New Roman" w:hAnsi="Times New Roman" w:cs="Times New Roman"/>
          <w:b w:val="0"/>
          <w:bCs w:val="0"/>
          <w:i/>
          <w:iCs/>
          <w:sz w:val="24"/>
          <w:szCs w:val="24"/>
        </w:rPr>
        <w:t>Bruker Alpha II</w:t>
      </w:r>
      <w:r>
        <w:rPr>
          <w:rFonts w:ascii="Times New Roman" w:hAnsi="Times New Roman" w:cs="Times New Roman"/>
          <w:sz w:val="24"/>
          <w:szCs w:val="24"/>
        </w:rPr>
        <w:t xml:space="preserve"> (nº de série 210363), equipado com acessório de Reflectância Total Atenuada (ATR) com cristal de diamante (ATR Platinum T — 1 reflexão), operando na região espectral de 4000 a 650 cm⁻¹, com 16 varreduras (</w:t>
      </w:r>
      <w:r>
        <w:rPr>
          <w:rStyle w:val="nfase"/>
          <w:rFonts w:ascii="Times New Roman" w:hAnsi="Times New Roman" w:cs="Times New Roman"/>
          <w:sz w:val="24"/>
          <w:szCs w:val="24"/>
        </w:rPr>
        <w:t>scans</w:t>
      </w:r>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OPUS DrugID Wizard</w:t>
      </w:r>
      <w:r>
        <w:rPr>
          <w:rFonts w:ascii="Times New Roman" w:hAnsi="Times New Roman" w:cs="Times New Roman"/>
          <w:sz w:val="24"/>
          <w:szCs w:val="24"/>
        </w:rPr>
        <w:t>, versão 8.2 Build 8.2.28 / DB 8.2.28.242 (Bruker Optik GmbH).</w:t>
      </w:r>
    </w:p>
    <w:p w14:paraId="365B6780" w14:textId="16527FDD" w:rsidR="00CE1DD4" w:rsidRDefault="002A775C" w:rsidP="002A775C">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Fonts w:ascii="Times New Roman" w:hAnsi="Times New Roman" w:cs="Times New Roman"/>
          <w:sz w:val="24"/>
          <w:szCs w:val="24"/>
        </w:rPr>
        <w:footnoteReference w:id="5"/>
      </w:r>
      <w:r>
        <w:rPr>
          <w:rFonts w:ascii="Times New Roman" w:hAnsi="Times New Roman" w:cs="Times New Roman"/>
          <w:sz w:val="24"/>
          <w:szCs w:val="24"/>
        </w:rP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Desaparecimento da coloração com HCl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(CHCl₃)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A063B7" w:rsidRPr="002E3AB8" w14:paraId="6482754F"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PRESUNTIVO POSITIVO para alcaloide tropânico</w:t>
            </w:r>
          </w:p>
        </w:tc>
      </w:tr>
    </w:tbl>
    <w:p w14:paraId="3B77D382" w14:textId="1E55E1B6" w:rsidR="008E04B3" w:rsidRPr="00B674A3" w:rsidRDefault="008E04B3" w:rsidP="008E04B3">
      <w:pPr>
        <w:spacing w:before="80" w:after="80"/>
        <w:rPr>
          <w:rFonts w:ascii="Times New Roman" w:hAnsi="Times New Roman" w:cs="Times New Roman"/>
          <w:sz w:val="20"/>
          <w:szCs w:val="20"/>
        </w:rPr>
      </w:pPr>
      <w:r>
        <w:rPr>
          <w:rStyle w:val="Forte"/>
          <w:rFonts w:ascii="Times New Roman" w:hAnsi="Times New Roman" w:cs="Times New Roman"/>
          <w:sz w:val="20"/>
          <w:szCs w:val="20"/>
        </w:rPr>
        <w:t>Tabela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34BB3646" w14:textId="1A1995AE"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w:t>
      </w:r>
      <w:r w:rsidR="00CE122A">
        <w:rPr>
          <w:rFonts w:ascii="Times New Roman" w:hAnsi="Times New Roman" w:cs="Times New Roman"/>
          <w:sz w:val="24"/>
          <w:szCs w:val="24"/>
        </w:rPr>
        <w:t>2</w:t>
      </w:r>
      <w:r>
        <w:rPr>
          <w:rFonts w:ascii="Times New Roman" w:hAnsi="Times New Roman" w:cs="Times New Roman"/>
          <w:sz w:val="24"/>
          <w:szCs w:val="24"/>
        </w:rPr>
        <w:t>.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r w:rsidRPr="004F3C53">
        <w:rPr>
          <w:rFonts w:ascii="Times New Roman" w:hAnsi="Times New Roman" w:cs="Times New Roman"/>
          <w:sz w:val="24"/>
          <w:szCs w:val="24"/>
        </w:rPr>
        <w:t>benzoilmetilecgonina·HCl</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 cloridrato</w:t>
      </w:r>
      <w:r>
        <w:rPr>
          <w:rFonts w:ascii="Times New Roman" w:hAnsi="Times New Roman" w:cs="Times New Roman"/>
          <w:sz w:val="24"/>
          <w:szCs w:val="24"/>
        </w:rPr>
        <w:t>. Fórmula molecular: C₁₇H₂₁NO₄·HCl. Peso molecular: 339,8 g/mol.</w:t>
      </w:r>
    </w:p>
    <w:p w14:paraId="0782A95D" w14:textId="77777777" w:rsidR="00DD3795" w:rsidRDefault="005F2C4D">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w:t>
      </w:r>
      <w:r>
        <w:rPr>
          <w:rFonts w:ascii="Times New Roman" w:hAnsi="Times New Roman" w:cs="Times New Roman"/>
          <w:sz w:val="24"/>
          <w:szCs w:val="24"/>
        </w:rPr>
        <w:t>_ESP] (espectro comparativo detalhado na Figura [N_FIG], a seguir).</w:t>
      </w:r>
    </w:p>
    <w:p w14:paraId="77751AAD" w14:textId="77777777" w:rsidR="002A775C" w:rsidRDefault="002A775C">
      <w:pPr>
        <w:pStyle w:val="PargrafodaLista"/>
        <w:spacing w:before="80" w:after="80"/>
        <w:jc w:val="both"/>
        <w:rPr>
          <w:rFonts w:ascii="Times New Roman" w:hAnsi="Times New Roman" w:cs="Times New Roman"/>
          <w:sz w:val="24"/>
          <w:szCs w:val="24"/>
        </w:rPr>
      </w:pPr>
    </w:p>
    <w:p w14:paraId="3AA812C0" w14:textId="6C1B8974" w:rsidR="00DD3795" w:rsidRDefault="005F2C4D">
      <w:pPr>
        <w:pStyle w:val="PargrafodaLista"/>
        <w:spacing w:before="80" w:after="80"/>
        <w:jc w:val="both"/>
      </w:pPr>
      <w:r>
        <w:rPr>
          <w:rFonts w:ascii="Times New Roman" w:hAnsi="Times New Roman" w:cs="Times New Roman"/>
          <w:sz w:val="24"/>
          <w:szCs w:val="24"/>
        </w:rPr>
        <w:t>[PENDENTE: inserir Figura — captura de tela do relatório Library Search (OPUS DrugID Wizard) com o espectro da amostra, espectro de referência e tabela de metadados]</w:t>
      </w:r>
    </w:p>
    <w:p w14:paraId="5CE431E8" w14:textId="77777777" w:rsidR="00DD3795" w:rsidRDefault="005F2C4D">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w:t>
      </w:r>
      <w:r>
        <w:rPr>
          <w:rFonts w:ascii="Times New Roman" w:hAnsi="Times New Roman" w:cs="Times New Roman"/>
          <w:i/>
          <w:sz w:val="20"/>
          <w:szCs w:val="20"/>
        </w:rPr>
        <w:t>spectral por FTIR-ATR entre o espectro obtido da amostra questionada (traçado superior) e o espectro de referência da biblioteca espectral consultada (traçado inferior), processada pelo software OPUS DrugID Wizard (Bruker Optik GmbH), com indicação do índi</w:t>
      </w:r>
      <w:r>
        <w:rPr>
          <w:rFonts w:ascii="Times New Roman" w:hAnsi="Times New Roman" w:cs="Times New Roman"/>
          <w:i/>
          <w:sz w:val="20"/>
          <w:szCs w:val="20"/>
        </w:rPr>
        <w:t>ce de correspondência (Hit Quality/Content) e das demais informações de identificação espectral.</w:t>
      </w:r>
    </w:p>
    <w:p w14:paraId="650E4143" w14:textId="77777777" w:rsidR="002A775C" w:rsidRDefault="002A775C">
      <w:pPr>
        <w:pStyle w:val="PargrafodaLista"/>
        <w:spacing w:before="80" w:after="80"/>
        <w:jc w:val="both"/>
      </w:pP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N⁺–H — BANDA DIAGNÓSTICA </w:t>
            </w:r>
            <w:r>
              <w:rPr>
                <w:rFonts w:ascii="Times New Roman" w:hAnsi="Times New Roman" w:cs="Times New Roman"/>
                <w:b/>
                <w:bCs/>
                <w:sz w:val="20"/>
                <w:szCs w:val="20"/>
              </w:rPr>
              <w:lastRenderedPageBreak/>
              <w:t>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lastRenderedPageBreak/>
              <w:t>Amina terciária protonada</w:t>
            </w:r>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 benzóico</w:t>
            </w:r>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Style w:val="Forte"/>
          <w:rFonts w:ascii="Times New Roman" w:hAnsi="Times New Roman" w:cs="Times New Roman"/>
          <w:sz w:val="20"/>
          <w:szCs w:val="20"/>
        </w:rPr>
        <w:t>Tabela 4</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Cocaína.HCl</w:t>
      </w:r>
    </w:p>
    <w:p w14:paraId="534242DE" w14:textId="77777777" w:rsidR="00397A29" w:rsidRPr="004622F5" w:rsidRDefault="00397A29" w:rsidP="00397A29">
      <w:pPr>
        <w:jc w:val="center"/>
        <w:rPr>
          <w:rFonts w:ascii="Times New Roman" w:hAnsi="Times New Roman" w:cs="Times New Roman"/>
          <w:sz w:val="24"/>
          <w:szCs w:val="24"/>
        </w:rPr>
      </w:pPr>
    </w:p>
    <w:p w14:paraId="300C0E73" w14:textId="3BED62FE"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t>3.4.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sidRPr="004F3C53">
        <w:rPr>
          <w:rFonts w:ascii="Times New Roman" w:eastAsia="Times New Roman" w:hAnsi="Times New Roman" w:cs="Times New Roman"/>
          <w:b/>
          <w:bCs/>
          <w:color w:val="1F3864" w:themeColor="accent1" w:themeShade="80"/>
          <w:sz w:val="24"/>
          <w:szCs w:val="24"/>
        </w:rPr>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PRESUNTIVO POSITIVO para canabinoide fenólico</w:t>
      </w:r>
      <w:r w:rsidRPr="004F3C53">
        <w:rPr>
          <w:rFonts w:ascii="Times New Roman" w:eastAsia="Times New Roman" w:hAnsi="Times New Roman" w:cs="Times New Roman"/>
          <w:sz w:val="24"/>
          <w:szCs w:val="24"/>
        </w:rPr>
        <w:t>, evidenciado pela formação de coloração vermelho-avermelhada intensa e estável na fase orgânica hexânica, compatível com produto de acoplamento azoaromático do Δ9-THC.</w:t>
      </w:r>
    </w:p>
    <w:p w14:paraId="357EB27A" w14:textId="77777777" w:rsidR="002A775C" w:rsidRDefault="002A775C" w:rsidP="00397A29">
      <w:pPr>
        <w:pStyle w:val="PargrafodaLista"/>
        <w:spacing w:before="80" w:after="80"/>
        <w:jc w:val="both"/>
        <w:rPr>
          <w:rFonts w:ascii="Times New Roman" w:eastAsia="Times New Roman" w:hAnsi="Times New Roman" w:cs="Times New Roman"/>
          <w:b/>
          <w:bCs/>
          <w:color w:val="1F3864" w:themeColor="accent1" w:themeShade="80"/>
          <w:sz w:val="24"/>
          <w:szCs w:val="24"/>
        </w:rPr>
      </w:pPr>
    </w:p>
    <w:p w14:paraId="7ACFA2AB" w14:textId="6EEA81B3"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(ii)</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(iii)</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6DB0C2C9" w14:textId="77777777" w:rsidR="002A775C" w:rsidRDefault="002A775C" w:rsidP="00397A29">
      <w:pPr>
        <w:pStyle w:val="PargrafodaLista"/>
        <w:spacing w:before="80" w:after="80"/>
        <w:jc w:val="both"/>
        <w:rPr>
          <w:rFonts w:ascii="Times New Roman" w:eastAsia="Times New Roman" w:hAnsi="Times New Roman" w:cs="Times New Roman"/>
          <w:b/>
          <w:color w:val="1F3864" w:themeColor="accent1" w:themeShade="80"/>
          <w:sz w:val="24"/>
          <w:szCs w:val="24"/>
        </w:rPr>
      </w:pPr>
    </w:p>
    <w:p w14:paraId="0AA062E0" w14:textId="5C86B086"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Na análise por </w:t>
      </w:r>
      <w:r w:rsidR="00AA6C00">
        <w:rPr>
          <w:rFonts w:ascii="Times New Roman" w:eastAsia="Times New Roman" w:hAnsi="Times New Roman" w:cs="Times New Roman"/>
          <w:sz w:val="24"/>
          <w:szCs w:val="24"/>
        </w:rPr>
        <w:t>FTIR-ATR</w:t>
      </w:r>
      <w:r w:rsidR="00AA6C00">
        <w:rPr>
          <w:rStyle w:val="Refdenotaderodap"/>
          <w:rFonts w:ascii="Times New Roman" w:hAnsi="Times New Roman" w:cs="Times New Roman"/>
          <w:sz w:val="24"/>
          <w:szCs w:val="24"/>
        </w:rPr>
        <w:footnoteReference w:id="6"/>
      </w:r>
      <w:r w:rsidRPr="004F3C53">
        <w:rPr>
          <w:rFonts w:ascii="Times New Roman" w:eastAsia="Times New Roman" w:hAnsi="Times New Roman" w:cs="Times New Roman"/>
          <w:sz w:val="24"/>
          <w:szCs w:val="24"/>
        </w:rPr>
        <w:t xml:space="preserve">,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OPUS DrugID Wizard</w:t>
      </w:r>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p w14:paraId="395B692C" w14:textId="77777777" w:rsidR="00DD3795" w:rsidRDefault="005F2C4D">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w:t>
      </w:r>
      <w:r>
        <w:rPr>
          <w:rFonts w:ascii="Times New Roman" w:hAnsi="Times New Roman" w:cs="Times New Roman"/>
          <w:sz w:val="24"/>
          <w:szCs w:val="24"/>
        </w:rPr>
        <w:t>ro comparativo detalhado na Figura [N_FIG], a seguir).</w:t>
      </w:r>
    </w:p>
    <w:p w14:paraId="0377E1FC" w14:textId="77777777" w:rsidR="00AA6C00" w:rsidRDefault="00AA6C00">
      <w:pPr>
        <w:pStyle w:val="PargrafodaLista"/>
        <w:spacing w:before="80" w:after="80"/>
        <w:jc w:val="both"/>
        <w:rPr>
          <w:rFonts w:ascii="Times New Roman" w:hAnsi="Times New Roman" w:cs="Times New Roman"/>
          <w:sz w:val="24"/>
          <w:szCs w:val="24"/>
        </w:rPr>
      </w:pPr>
    </w:p>
    <w:p w14:paraId="02DE994D" w14:textId="06339215" w:rsidR="00DD3795" w:rsidRDefault="005F2C4D">
      <w:pPr>
        <w:pStyle w:val="PargrafodaLista"/>
        <w:spacing w:before="80" w:after="80"/>
        <w:jc w:val="both"/>
      </w:pPr>
      <w:r>
        <w:rPr>
          <w:rFonts w:ascii="Times New Roman" w:hAnsi="Times New Roman" w:cs="Times New Roman"/>
          <w:sz w:val="24"/>
          <w:szCs w:val="24"/>
        </w:rPr>
        <w:t>[PENDENTE: inserir Figura — captura de tela do relatório Library Search (OPUS DrugID Wizard) com o espectro da amostra, espectro de referência e tabela de metadados]</w:t>
      </w:r>
    </w:p>
    <w:p w14:paraId="30ABCA0F" w14:textId="77777777" w:rsidR="00DD3795" w:rsidRDefault="005F2C4D">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3</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w:t>
      </w:r>
      <w:r>
        <w:rPr>
          <w:rFonts w:ascii="Times New Roman" w:hAnsi="Times New Roman" w:cs="Times New Roman"/>
          <w:i/>
          <w:sz w:val="20"/>
          <w:szCs w:val="20"/>
        </w:rPr>
        <w:t>FTIR-ATR entre o espectro obtido da amostra questionada (traçado superior) e o espectro de referência da biblioteca espectral consultada (traçado inferior), processada pelo software OPUS DrugID Wizard (Bruker Optik GmbH), com indicação do índice de corresp</w:t>
      </w:r>
      <w:r>
        <w:rPr>
          <w:rFonts w:ascii="Times New Roman" w:hAnsi="Times New Roman" w:cs="Times New Roman"/>
          <w:i/>
          <w:sz w:val="20"/>
          <w:szCs w:val="20"/>
        </w:rPr>
        <w:t>ondência (Hit Quality/Content) e das demais informações de identificação espectral.</w:t>
      </w:r>
    </w:p>
    <w:p w14:paraId="13A597B7" w14:textId="77777777" w:rsidR="00AA6C00" w:rsidRDefault="00AA6C00">
      <w:pPr>
        <w:pStyle w:val="PargrafodaLista"/>
        <w:spacing w:before="80" w:after="80"/>
        <w:jc w:val="both"/>
      </w:pP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lastRenderedPageBreak/>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O–H fenólico — BANDA DIAGNÓSTICA PRIMÁRIA: ausente em canabinoides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C=C aromático — anel resorcinólico</w:t>
            </w:r>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C–O–C éter cíclico — ponte de oxigênio do anel cromeno;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C–H alifático — cadeia alquil lateral (pentil)</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δ CH₃ simétrico e antissimétrico — grupos metila gem-dimetil (C6) e isopropenila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Style w:val="Forte"/>
          <w:rFonts w:ascii="Times New Roman" w:eastAsia="Times New Roman" w:hAnsi="Times New Roman" w:cs="Times New Roman"/>
          <w:sz w:val="20"/>
          <w:szCs w:val="20"/>
        </w:rPr>
        <w:t>Tabela 5</w:t>
      </w:r>
      <w:r>
        <w:rPr>
          <w:rStyle w:val="Forte"/>
          <w:rFonts w:ascii="Times New Roman" w:eastAsia="Times New Roman" w:hAnsi="Times New Roman" w:cs="Times New Roman"/>
          <w:i/>
          <w:sz w:val="20"/>
          <w:szCs w:val="20"/>
        </w:rPr>
        <w:t>.</w:t>
      </w:r>
      <w:r>
        <w:rPr>
          <w:rFonts w:ascii="Times New Roman" w:eastAsia="Times New Roman" w:hAnsi="Times New Roman" w:cs="Times New Roman"/>
          <w:i/>
          <w:sz w:val="20"/>
          <w:szCs w:val="20"/>
        </w:rPr>
        <w:t xml:space="preserve"> Bandas espectrais diagnósticas — FTIR-ATR — Δ9-THC. Bandas destacadas (ν O–H fenólico + ν C–O fenólico + ν C–O–C éter cíclico) são altamente específicas para Δ9-THC. Adaptado de UNODC (2009) e Moffat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7"/>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Benzoilmetilecgonina·HCl (C₁₇H₂₁NO₄·HCl,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lastRenderedPageBreak/>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5" w:name="_Hlk231540727"/>
    </w:p>
    <w:p w14:paraId="30C72037" w14:textId="77777777" w:rsidR="00397A29" w:rsidRPr="00B043CE" w:rsidRDefault="00397A29" w:rsidP="00397A29">
      <w:pPr>
        <w:rPr>
          <w:sz w:val="24"/>
          <w:szCs w:val="24"/>
        </w:rPr>
      </w:pPr>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34B784ED"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w:t>
            </w:r>
            <w:r w:rsidR="00AA6C00">
              <w:rPr>
                <w:rFonts w:ascii="Times New Roman" w:hAnsi="Times New Roman" w:cs="Times New Roman"/>
                <w:sz w:val="20"/>
                <w:szCs w:val="20"/>
              </w:rPr>
              <w:t>_RECEB</w:t>
            </w:r>
            <w:r>
              <w:rPr>
                <w:rFonts w:ascii="Times New Roman" w:hAnsi="Times New Roman" w:cs="Times New Roman"/>
                <w:sz w:val="20"/>
                <w:szCs w:val="20"/>
              </w:rPr>
              <w:t>]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1716E093" w:rsidR="00533532" w:rsidRPr="00BE0A87" w:rsidRDefault="00BE0A87"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BE0A87">
              <w:rPr>
                <w:rFonts w:ascii="Times New Roman" w:hAnsi="Times New Roman" w:cs="Times New Roman"/>
                <w:sz w:val="20"/>
                <w:szCs w:val="20"/>
              </w:rPr>
              <w:t>[DEMANDA_PRELIM]</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5127948E" w:rsidR="00533532" w:rsidRPr="00BE0A87" w:rsidRDefault="00BE0A87"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BE0A87">
              <w:rPr>
                <w:rFonts w:ascii="Times New Roman" w:hAnsi="Times New Roman" w:cs="Times New Roman"/>
                <w:sz w:val="20"/>
                <w:szCs w:val="20"/>
              </w:rPr>
              <w:t>[ENV_POS_PRELIM]</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42F02BD9" w:rsidR="00533532" w:rsidRPr="00A01AC6"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branco (item b.)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Modificado (Cat. C/SWGDRUG) + Fast Blue B (Cat. </w:t>
            </w:r>
            <w:r>
              <w:rPr>
                <w:rFonts w:ascii="Times New Roman" w:hAnsi="Times New Roman" w:cs="Times New Roman"/>
                <w:sz w:val="20"/>
                <w:szCs w:val="20"/>
              </w:rPr>
              <w:t>C/SWGDRUG) + Análise Botânica + FTIR-ATR (Cat. A/SWGDRUG)</w:t>
            </w:r>
          </w:p>
        </w:tc>
      </w:tr>
      <w:tr w:rsidR="00A01AC6" w:rsidRPr="00C371C9" w14:paraId="66EC12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172C00A5"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lastRenderedPageBreak/>
              <w:t>Data de conclusão</w:t>
            </w:r>
          </w:p>
        </w:tc>
        <w:tc>
          <w:tcPr>
            <w:tcW w:w="6808" w:type="dxa"/>
          </w:tcPr>
          <w:p w14:paraId="0FCA0795" w14:textId="77777777" w:rsidR="00A01AC6" w:rsidRPr="00C371C9"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5175664E" w14:textId="77777777" w:rsidR="004C5101" w:rsidRDefault="004C5101" w:rsidP="004C5101">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1FE2A477" w14:textId="77777777" w:rsidR="004C5101" w:rsidRDefault="004C5101" w:rsidP="004C5101">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Secretaria de Segurança Pública. Instrução Normativa nº 04/2025/SSP/PI, de 22 de novembro de 2025. Regula a integração DEPOC/PC-PI e a cadeia de custódia de vestígios. Diário Oficial do Estado do Piauí, n. 229, 28 nov. 2025.</w:t>
      </w:r>
    </w:p>
    <w:p w14:paraId="54CC32CF" w14:textId="77777777" w:rsidR="004C5101" w:rsidRDefault="004C5101" w:rsidP="004C5101">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Instrução Técnica sobre embalagens-padrão rastreáveis e formulário de avaliação de vestígios (FAV). Teresina: DEPOC/PC-PI, 2024.</w:t>
      </w:r>
    </w:p>
    <w:p w14:paraId="38C61746" w14:textId="77777777" w:rsidR="004C5101" w:rsidRPr="00C371C9" w:rsidRDefault="004C5101" w:rsidP="004C5101">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277BDBC" w14:textId="77777777" w:rsidR="004C5101" w:rsidRPr="00C371C9" w:rsidRDefault="004C5101" w:rsidP="004C5101">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66B69EF3" w14:textId="77777777" w:rsidR="004C5101" w:rsidRPr="00C371C9" w:rsidRDefault="004C5101" w:rsidP="004C5101">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06FCBF53" w14:textId="77777777" w:rsidR="004C5101" w:rsidRPr="00C371C9" w:rsidRDefault="004C5101" w:rsidP="004C5101">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29448DF9" w14:textId="77777777" w:rsidR="004C5101" w:rsidRPr="00C371C9" w:rsidRDefault="004C5101" w:rsidP="004C5101">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4607537C" w14:textId="77777777" w:rsidR="004C5101" w:rsidRPr="00C371C9" w:rsidRDefault="004C5101" w:rsidP="004C5101">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221AA792" w14:textId="77777777" w:rsidR="004C5101" w:rsidRPr="00C371C9" w:rsidRDefault="004C5101" w:rsidP="004C5101">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739B589D" w14:textId="77777777" w:rsidR="004C5101" w:rsidRPr="00C371C9" w:rsidRDefault="004C5101" w:rsidP="004C5101">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POP-QUIM-042: extração de canabinoides de matriz vegetal para análise por FTIR-ATR (adaptação para metanol e agitação manual). V. 02.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ABCB224"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4C5101">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4"/>
      <w:headerReference w:type="first" r:id="rId15"/>
      <w:footerReference w:type="first" r:id="rId16"/>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D77477" w14:textId="77777777" w:rsidR="005F2C4D" w:rsidRDefault="005F2C4D">
      <w:r>
        <w:separator/>
      </w:r>
    </w:p>
  </w:endnote>
  <w:endnote w:type="continuationSeparator" w:id="0">
    <w:p w14:paraId="5171821E" w14:textId="77777777" w:rsidR="005F2C4D" w:rsidRDefault="005F2C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7F0954" w14:textId="77777777" w:rsidR="005F2C4D" w:rsidRDefault="005F2C4D">
      <w:r>
        <w:separator/>
      </w:r>
    </w:p>
  </w:footnote>
  <w:footnote w:type="continuationSeparator" w:id="0">
    <w:p w14:paraId="3727FA97" w14:textId="77777777" w:rsidR="005F2C4D" w:rsidRDefault="005F2C4D">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Cannabis 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INTERFERÊNCIA POR ADULTERANTES — TESTE DE SCOTT: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imídico ~1700/1660 cm⁻¹), afastando qualquer hipótese de falso-positivo colorimétrico. Ref.: Conceição, V.N. et al. Química Nova, v. 37, n. 9, p. 1538–1544, 2014; Rodrigues, N.V.S. et al. J. Braz. </w:t>
      </w:r>
      <w:r w:rsidRPr="004C4BDD">
        <w:rPr>
          <w:rFonts w:ascii="Times New Roman" w:hAnsi="Times New Roman" w:cs="Times New Roman"/>
          <w:sz w:val="16"/>
          <w:szCs w:val="16"/>
        </w:rPr>
        <w:t>Chem.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760005D7" w14:textId="77777777" w:rsidR="002A775C" w:rsidRPr="00E61541" w:rsidRDefault="002A775C" w:rsidP="002A775C">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362EE0B1" w14:textId="77777777" w:rsidR="00AA6C00" w:rsidRPr="00E61541" w:rsidRDefault="00AA6C00" w:rsidP="00AA6C00">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4D5DD6">
        <w:rPr>
          <w:rFonts w:ascii="Times New Roman" w:hAnsi="Times New Roman" w:cs="Times New Roman"/>
          <w:b/>
          <w:color w:val="1F3864" w:themeColor="accent1" w:themeShade="80"/>
          <w:sz w:val="16"/>
          <w:szCs w:val="16"/>
        </w:rPr>
        <w:t>Preparo da amostra:</w:t>
      </w:r>
      <w:r w:rsidRPr="004D5DD6">
        <w:rPr>
          <w:rFonts w:ascii="Times New Roman" w:hAnsi="Times New Roman" w:cs="Times New Roman"/>
          <w:b/>
          <w:sz w:val="16"/>
          <w:szCs w:val="16"/>
        </w:rPr>
        <w:t xml:space="preserve"> </w:t>
      </w:r>
      <w:r w:rsidRPr="004D5DD6">
        <w:rPr>
          <w:rFonts w:ascii="Times New Roman" w:hAnsi="Times New Roman" w:cs="Times New Roman"/>
          <w:sz w:val="16"/>
          <w:szCs w:val="16"/>
        </w:rPr>
        <w:t>Diferentemente da leitura direta empregada para materiais sólidos, a fração vegetal foi submetida a extração prévia em metanol grau P.A., conforme POP-QUIM-042 (V 2.0, 24/06/2026). Em razão da diferença de matriz entre o extrato metanólico questionado e os espectros de referência da biblioteca (obtidos a partir de substância sólida pura, sem extração prévia), observa-se redução esperada do índice de correspondência (Hit Quality) frente a leituras diretas, sem que isso comprometa a validade da identificação das bandas diagnósticas específicas do Δ9-THC, avaliadas por comparação visual obrigatória conforme POP SENASP nº 9.09 (2024, §5).</w:t>
      </w:r>
    </w:p>
  </w:footnote>
  <w:footnote w:id="7">
    <w:p w14:paraId="2A1D8031" w14:textId="4D03EB9A" w:rsidR="00A05F41" w:rsidRPr="00C223E1" w:rsidRDefault="00A05F41" w:rsidP="00CE122A">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5F2C4D"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02B2B"/>
    <w:rsid w:val="002307C0"/>
    <w:rsid w:val="00234E3F"/>
    <w:rsid w:val="00256A8B"/>
    <w:rsid w:val="00265B1A"/>
    <w:rsid w:val="00273609"/>
    <w:rsid w:val="00296B30"/>
    <w:rsid w:val="002A775C"/>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C5101"/>
    <w:rsid w:val="004F5D08"/>
    <w:rsid w:val="005233A2"/>
    <w:rsid w:val="00533532"/>
    <w:rsid w:val="00572A17"/>
    <w:rsid w:val="00584034"/>
    <w:rsid w:val="005F2C4D"/>
    <w:rsid w:val="00683638"/>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40E05"/>
    <w:rsid w:val="00956B3E"/>
    <w:rsid w:val="00966958"/>
    <w:rsid w:val="009F19ED"/>
    <w:rsid w:val="00A01AC6"/>
    <w:rsid w:val="00A05F41"/>
    <w:rsid w:val="00A063B7"/>
    <w:rsid w:val="00A415B0"/>
    <w:rsid w:val="00A45005"/>
    <w:rsid w:val="00AA6C00"/>
    <w:rsid w:val="00B043CE"/>
    <w:rsid w:val="00B63C3B"/>
    <w:rsid w:val="00B674A3"/>
    <w:rsid w:val="00BE0A87"/>
    <w:rsid w:val="00BF5F05"/>
    <w:rsid w:val="00C21D74"/>
    <w:rsid w:val="00C223E1"/>
    <w:rsid w:val="00C238E6"/>
    <w:rsid w:val="00C371C9"/>
    <w:rsid w:val="00C41329"/>
    <w:rsid w:val="00CE122A"/>
    <w:rsid w:val="00CE1DD4"/>
    <w:rsid w:val="00CE519A"/>
    <w:rsid w:val="00D75474"/>
    <w:rsid w:val="00DB2058"/>
    <w:rsid w:val="00DD3795"/>
    <w:rsid w:val="00E57B80"/>
    <w:rsid w:val="00E61541"/>
    <w:rsid w:val="00E6228B"/>
    <w:rsid w:val="00E74FC0"/>
    <w:rsid w:val="00EB22AF"/>
    <w:rsid w:val="00ED096E"/>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2.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9</Pages>
  <Words>3849</Words>
  <Characters>20789</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8</cp:revision>
  <dcterms:created xsi:type="dcterms:W3CDTF">2026-06-06T16:01:00Z</dcterms:created>
  <dcterms:modified xsi:type="dcterms:W3CDTF">2026-06-28T21:01:00Z</dcterms:modified>
</cp:coreProperties>
</file>