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47338"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7674CE7B"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7A224C27" w14:textId="77777777" w:rsidR="002307C0" w:rsidRPr="00170E58" w:rsidRDefault="002307C0" w:rsidP="002307C0">
      <w:pPr>
        <w:rPr>
          <w:rFonts w:ascii="Times New Roman" w:hAnsi="Times New Roman" w:cs="Times New Roman"/>
          <w:sz w:val="24"/>
          <w:szCs w:val="24"/>
        </w:rPr>
      </w:pPr>
    </w:p>
    <w:p w14:paraId="10D05D98"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24A35993"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29B02F93" w14:textId="77777777" w:rsidR="002307C0" w:rsidRPr="00170E58" w:rsidRDefault="002307C0" w:rsidP="00296B30">
      <w:pPr>
        <w:pStyle w:val="SemEspaamento"/>
      </w:pPr>
    </w:p>
    <w:p w14:paraId="671DE5B4"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[DD_RECEB]</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DEPARTAMENTO DE POLÍCIA CIENTÍFICA da POLÍCIA CIVIL DO ESTADO DO PIAUÍ, recebeu a requisição nº. Ofício nº. </w:t>
      </w:r>
      <w:r w:rsidRPr="005744BD">
        <w:rPr>
          <w:rFonts w:ascii="Times New Roman" w:hAnsi="Times New Roman" w:cs="Times New Roman"/>
          <w:b/>
          <w:bCs/>
          <w:sz w:val="24"/>
          <w:szCs w:val="24"/>
        </w:rPr>
        <w:t>[DOCUMENTO]</w:t>
      </w:r>
      <w:r>
        <w:rPr>
          <w:rFonts w:ascii="Times New Roman" w:hAnsi="Times New Roman" w:cs="Times New Roman"/>
          <w:sz w:val="24"/>
          <w:szCs w:val="24"/>
        </w:rPr>
        <w:t xml:space="preserve">, datada de </w:t>
      </w:r>
      <w:r>
        <w:rPr>
          <w:rFonts w:ascii="Times New Roman" w:hAnsi="Times New Roman" w:cs="Times New Roman"/>
          <w:b/>
          <w:bCs/>
          <w:sz w:val="24"/>
          <w:szCs w:val="24"/>
        </w:rPr>
        <w:t>[DD_DOC]</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POLÍCIA RODOVIÁRIA FEDERAL – DELEGACIA EM PARNAÍBA-DEL05-PI</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Pr>
          <w:rFonts w:ascii="Times New Roman" w:hAnsi="Times New Roman" w:cs="Times New Roman"/>
          <w:b/>
          <w:bCs/>
          <w:sz w:val="24"/>
          <w:szCs w:val="24"/>
        </w:rPr>
        <w:t>TCO</w:t>
      </w:r>
      <w:r>
        <w:rPr>
          <w:rFonts w:ascii="Times New Roman" w:hAnsi="Times New Roman" w:cs="Times New Roman"/>
          <w:sz w:val="24"/>
          <w:szCs w:val="24"/>
        </w:rPr>
        <w:t xml:space="preserve"> </w:t>
      </w:r>
      <w:r>
        <w:rPr>
          <w:rFonts w:ascii="Times New Roman" w:hAnsi="Times New Roman" w:cs="Times New Roman"/>
          <w:b/>
          <w:bCs/>
          <w:sz w:val="24"/>
          <w:szCs w:val="24"/>
        </w:rPr>
        <w:t>[BO]</w:t>
      </w:r>
      <w:r>
        <w:rPr>
          <w:rFonts w:ascii="Times New Roman" w:hAnsi="Times New Roman" w:cs="Times New Roman"/>
          <w:sz w:val="24"/>
          <w:szCs w:val="24"/>
        </w:rPr>
        <w:t>.</w:t>
      </w:r>
    </w:p>
    <w:p w14:paraId="0102194A" w14:textId="77777777" w:rsidR="00533532" w:rsidRPr="00170E58" w:rsidRDefault="00533532" w:rsidP="00296B30">
      <w:pPr>
        <w:pStyle w:val="SemEspaamento"/>
      </w:pPr>
    </w:p>
    <w:p w14:paraId="4890D8C4"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77D8A979" w14:textId="77777777" w:rsidR="00170E58" w:rsidRDefault="00170E58" w:rsidP="00296B30">
      <w:pPr>
        <w:pStyle w:val="SemEspaamento"/>
      </w:pPr>
    </w:p>
    <w:p w14:paraId="4DEA7D32" w14:textId="77777777"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POLÍCIA RODOVIÁRIA FEDERAL – DELEGACIA EM PARNAÍBA-DEL05-PI</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37D1B2EB" w14:textId="77777777" w:rsidR="00533532" w:rsidRPr="00170E58" w:rsidRDefault="00533532" w:rsidP="00296B30">
      <w:pPr>
        <w:pStyle w:val="SemEspaamento"/>
      </w:pPr>
    </w:p>
    <w:p w14:paraId="02C9AD5A" w14:textId="77777777"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0E0C1038" w14:textId="77777777"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7FD6E280" w14:textId="77777777" w:rsidR="003E3F4C" w:rsidRPr="00D6381D" w:rsidRDefault="003E3F4C" w:rsidP="003E3F4C">
      <w:pPr>
        <w:pStyle w:val="SemEspaamento"/>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sem numeração de Envelope de Vestígios/Lacre de entrada, no entanto, a rastreabilidade do material entre a apreensão e o recebimento nesta unidade pericial foi assegurada pelo Ofício nº. </w:t>
      </w:r>
      <w:r w:rsidRPr="005744BD">
        <w:rPr>
          <w:rFonts w:ascii="Times New Roman" w:hAnsi="Times New Roman" w:cs="Times New Roman"/>
          <w:b/>
          <w:bCs/>
          <w:sz w:val="24"/>
          <w:szCs w:val="24"/>
        </w:rPr>
        <w:t>[DOCUMENTO]</w:t>
      </w:r>
      <w:r>
        <w:rPr>
          <w:rFonts w:ascii="Times New Roman" w:hAnsi="Times New Roman" w:cs="Times New Roman"/>
          <w:sz w:val="24"/>
          <w:szCs w:val="24"/>
        </w:rPr>
        <w:t xml:space="preserve">, cujo instrumento supre funcionalmente o lacre de entrada no contexto de remessa interinstitucional, em conformidade com o art. 158-B, IV, do CPP, que admite o documento de tramitação como elemento da cadeia de custódia, sendo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O referido material foi encaminhado diretamente ao Setor de Química Forense para realização do exame definitivo, sem submissão a exame preliminar prévio.</w:t>
      </w:r>
    </w:p>
    <w:p w14:paraId="71BC3525" w14:textId="77777777" w:rsidR="003E3F4C" w:rsidRDefault="003E3F4C" w:rsidP="00170E58">
      <w:pPr>
        <w:spacing w:before="80" w:after="80"/>
        <w:jc w:val="both"/>
        <w:rPr>
          <w:rFonts w:ascii="Times New Roman" w:hAnsi="Times New Roman" w:cs="Times New Roman"/>
          <w:sz w:val="24"/>
          <w:szCs w:val="24"/>
        </w:rPr>
      </w:pPr>
    </w:p>
    <w:p w14:paraId="5C4FB4F7"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78DE508D"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55"/>
        <w:gridCol w:w="2294"/>
        <w:gridCol w:w="1327"/>
        <w:gridCol w:w="2472"/>
        <w:gridCol w:w="2745"/>
      </w:tblGrid>
      <w:tr w:rsidR="00770F5F" w:rsidRPr="00B674A3" w14:paraId="2D1FDD22" w14:textId="77777777" w:rsidTr="00770F5F">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70" w:type="dxa"/>
          </w:tcPr>
          <w:p w14:paraId="03C535DA"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093" w:type="dxa"/>
          </w:tcPr>
          <w:p w14:paraId="3FAF8CCA"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08" w:type="dxa"/>
          </w:tcPr>
          <w:p w14:paraId="4CB8FBB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2472" w:type="dxa"/>
          </w:tcPr>
          <w:p w14:paraId="6F9EAA79"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2950" w:type="dxa"/>
          </w:tcPr>
          <w:p w14:paraId="34FEC6D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770F5F" w:rsidRPr="00B674A3" w14:paraId="5BD06ED6" w14:textId="77777777" w:rsidTr="00770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0" w:type="dxa"/>
          </w:tcPr>
          <w:p w14:paraId="3A733AD1" w14:textId="77777777" w:rsidR="00770F5F" w:rsidRPr="00B674A3" w:rsidRDefault="00770F5F" w:rsidP="00770F5F">
            <w:pPr>
              <w:spacing w:before="80" w:after="80"/>
              <w:jc w:val="center"/>
              <w:rPr>
                <w:rFonts w:ascii="Times New Roman" w:hAnsi="Times New Roman" w:cs="Times New Roman"/>
                <w:sz w:val="20"/>
                <w:szCs w:val="20"/>
              </w:rPr>
            </w:pPr>
            <w:r>
              <w:rPr>
                <w:rFonts w:ascii="Times New Roman" w:hAnsi="Times New Roman" w:cs="Times New Roman"/>
                <w:sz w:val="20"/>
                <w:szCs w:val="20"/>
              </w:rPr>
              <w:t>d.</w:t>
            </w:r>
          </w:p>
        </w:tc>
        <w:tc>
          <w:tcPr>
            <w:tcW w:w="2093" w:type="dxa"/>
          </w:tcPr>
          <w:p w14:paraId="71A4391E" w14:textId="77777777" w:rsidR="00770F5F" w:rsidRPr="00B674A3" w:rsidRDefault="00770F5F" w:rsidP="00770F5F">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[MASSA_BRUTA]</w:t>
            </w:r>
            <w:r>
              <w:rPr>
                <w:rFonts w:ascii="Times New Roman" w:hAnsi="Times New Roman" w:cs="Times New Roman"/>
                <w:sz w:val="20"/>
                <w:szCs w:val="20"/>
              </w:rPr>
              <w:t xml:space="preserve"> </w:t>
            </w:r>
            <w:r>
              <w:rPr>
                <w:rFonts w:ascii="Times New Roman" w:hAnsi="Times New Roman" w:cs="Times New Roman"/>
                <w:b/>
                <w:bCs/>
                <w:sz w:val="20"/>
                <w:szCs w:val="20"/>
              </w:rPr>
              <w:t>g</w:t>
            </w:r>
            <w:r>
              <w:rPr>
                <w:rFonts w:ascii="Times New Roman" w:hAnsi="Times New Roman" w:cs="Times New Roman"/>
                <w:sz w:val="20"/>
                <w:szCs w:val="20"/>
              </w:rPr>
              <w:t xml:space="preserve"> (</w:t>
            </w:r>
            <w:r>
              <w:rPr>
                <w:rFonts w:ascii="Times New Roman" w:hAnsi="Times New Roman" w:cs="Times New Roman"/>
                <w:i/>
                <w:iCs/>
                <w:sz w:val="20"/>
                <w:szCs w:val="20"/>
              </w:rPr>
              <w:t xml:space="preserve">[MASSA_BRUTA_EXT]) </w:t>
            </w:r>
            <w:r>
              <w:rPr>
                <w:rFonts w:ascii="Times New Roman" w:hAnsi="Times New Roman" w:cs="Times New Roman"/>
                <w:sz w:val="20"/>
                <w:szCs w:val="20"/>
              </w:rPr>
              <w:t>massa bruta</w:t>
            </w:r>
          </w:p>
        </w:tc>
        <w:tc>
          <w:tcPr>
            <w:tcW w:w="1308" w:type="dxa"/>
          </w:tcPr>
          <w:p w14:paraId="443021E5" w14:textId="77777777" w:rsidR="00770F5F" w:rsidRPr="00B674A3" w:rsidRDefault="00770F5F" w:rsidP="00770F5F">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[QTD_MDA]</w:t>
            </w:r>
          </w:p>
        </w:tc>
        <w:tc>
          <w:tcPr>
            <w:tcW w:w="2472" w:type="dxa"/>
          </w:tcPr>
          <w:p w14:paraId="05911A8C" w14:textId="77777777" w:rsidR="00770F5F" w:rsidRPr="00B674A3" w:rsidRDefault="00770F5F" w:rsidP="00770F5F">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2950" w:type="dxa"/>
          </w:tcPr>
          <w:p w14:paraId="2AB423DC" w14:textId="77777777" w:rsidR="00770F5F" w:rsidRPr="00B674A3" w:rsidRDefault="00770F5F" w:rsidP="00770F5F">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[ASPECTOS_FISICOS]</w:t>
            </w:r>
          </w:p>
        </w:tc>
      </w:tr>
    </w:tbl>
    <w:p w14:paraId="6638DF42" w14:textId="77777777" w:rsidR="00533532" w:rsidRDefault="004A4051" w:rsidP="007B71B0">
      <w:pPr>
        <w:spacing w:before="80" w:after="80"/>
        <w:rPr>
          <w:rFonts w:ascii="Times New Roman" w:hAnsi="Times New Roman" w:cs="Times New Roman"/>
          <w:i/>
          <w:iCs/>
          <w:sz w:val="20"/>
          <w:szCs w:val="20"/>
        </w:rPr>
      </w:pPr>
      <w:r>
        <w:rPr>
          <w:rStyle w:val="Forte"/>
          <w:rFonts w:ascii="Times New Roman" w:hAnsi="Times New Roman" w:cs="Times New Roman"/>
          <w:sz w:val="20"/>
          <w:szCs w:val="20"/>
        </w:rPr>
        <w:t>Tabela 1</w:t>
      </w:r>
      <w:r>
        <w:rPr>
          <w:rStyle w:val="Forte"/>
          <w:rFonts w:ascii="Times New Roman" w:hAnsi="Times New Roman" w:cs="Times New Roman"/>
          <w:i/>
          <w:sz w:val="20"/>
          <w:szCs w:val="20"/>
        </w:rPr>
        <w:t>.</w:t>
      </w:r>
      <w:r>
        <w:rPr>
          <w:rFonts w:ascii="Times New Roman" w:hAnsi="Times New Roman" w:cs="Times New Roman"/>
          <w:i/>
          <w:sz w:val="20"/>
          <w:szCs w:val="20"/>
        </w:rPr>
        <w:t xml:space="preserve"> Identificação e descrição do material submetido a análise definitiva.</w:t>
      </w:r>
    </w:p>
    <w:p w14:paraId="2ED9C6D0" w14:textId="77777777" w:rsidR="00A05F41" w:rsidRDefault="00770F5F" w:rsidP="00770F5F">
      <w:pPr>
        <w:spacing w:before="80" w:after="80"/>
        <w:jc w:val="center"/>
        <w:rPr>
          <w:rFonts w:ascii="Times New Roman" w:hAnsi="Times New Roman" w:cs="Times New Roman"/>
          <w:sz w:val="20"/>
          <w:szCs w:val="20"/>
        </w:rPr>
      </w:pPr>
      <w:r>
        <w:rPr>
          <w:noProof/>
        </w:rPr>
        <w:drawing>
          <wp:inline distT="0" distB="0" distL="0" distR="0" wp14:anchorId="4CA0C1FB" wp14:editId="4E3E8EB4">
            <wp:extent cx="4680818" cy="3538538"/>
            <wp:effectExtent l="0" t="0" r="5715" b="508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07005" cy="3558335"/>
                    </a:xfrm>
                    <a:prstGeom prst="rect">
                      <a:avLst/>
                    </a:prstGeom>
                    <a:noFill/>
                    <a:ln>
                      <a:noFill/>
                    </a:ln>
                  </pic:spPr>
                </pic:pic>
              </a:graphicData>
            </a:graphic>
          </wp:inline>
        </w:drawing>
      </w:r>
      <w:r>
        <w:rPr>
          <w:noProof/>
        </w:rPr>
        <w:drawing>
          <wp:inline distT="0" distB="0" distL="0" distR="0" wp14:anchorId="50F56508" wp14:editId="7131D558">
            <wp:extent cx="4673123" cy="3252470"/>
            <wp:effectExtent l="0" t="0" r="0" b="508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99775" cy="3271020"/>
                    </a:xfrm>
                    <a:prstGeom prst="rect">
                      <a:avLst/>
                    </a:prstGeom>
                    <a:noFill/>
                    <a:ln>
                      <a:noFill/>
                    </a:ln>
                  </pic:spPr>
                </pic:pic>
              </a:graphicData>
            </a:graphic>
          </wp:inline>
        </w:drawing>
      </w:r>
    </w:p>
    <w:p w14:paraId="73ACD940" w14:textId="77777777" w:rsidR="00533532" w:rsidRPr="007B71B0" w:rsidRDefault="004A4051" w:rsidP="007B71B0">
      <w:pPr>
        <w:spacing w:before="80" w:after="80"/>
        <w:jc w:val="center"/>
        <w:rPr>
          <w:rFonts w:ascii="Times New Roman" w:hAnsi="Times New Roman" w:cs="Times New Roman"/>
          <w:sz w:val="20"/>
          <w:szCs w:val="20"/>
        </w:rPr>
      </w:pPr>
      <w:r>
        <w:rPr>
          <w:rStyle w:val="Forte"/>
          <w:rFonts w:ascii="Times New Roman" w:hAnsi="Times New Roman" w:cs="Times New Roman"/>
          <w:sz w:val="20"/>
          <w:szCs w:val="20"/>
        </w:rPr>
        <w:t>Figura 1</w:t>
      </w:r>
      <w:r>
        <w:rPr>
          <w:rStyle w:val="Forte"/>
          <w:rFonts w:ascii="Times New Roman" w:hAnsi="Times New Roman" w:cs="Times New Roman"/>
          <w:i/>
          <w:sz w:val="20"/>
          <w:szCs w:val="20"/>
        </w:rPr>
        <w:t>.</w:t>
      </w:r>
      <w:r>
        <w:rPr>
          <w:rFonts w:ascii="Times New Roman" w:hAnsi="Times New Roman" w:cs="Times New Roman"/>
          <w:i/>
          <w:sz w:val="20"/>
          <w:szCs w:val="20"/>
        </w:rPr>
        <w:t xml:space="preserve"> Vista geral do material encaminhado a exame. Material custodiado provisoriamente no LAB-NRPC/PHB.</w:t>
      </w:r>
    </w:p>
    <w:p w14:paraId="49175539" w14:textId="77777777" w:rsidR="00533532" w:rsidRPr="007B71B0" w:rsidRDefault="00533532" w:rsidP="007B71B0">
      <w:pPr>
        <w:rPr>
          <w:rFonts w:ascii="Times New Roman" w:hAnsi="Times New Roman" w:cs="Times New Roman"/>
          <w:sz w:val="24"/>
          <w:szCs w:val="24"/>
        </w:rPr>
      </w:pPr>
    </w:p>
    <w:p w14:paraId="1F2D57F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 xml:space="preserve">O material apreendido permaneceu custodiado neste laboratório até a conclusão deste laudo, momento em que foi reacondicionado em Envelope de Vestígios/Lacre nº.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2994FDB8" w14:textId="77777777" w:rsidR="00533532" w:rsidRPr="007B71B0" w:rsidRDefault="00533532" w:rsidP="00296B30">
      <w:pPr>
        <w:pStyle w:val="SemEspaamento"/>
      </w:pPr>
    </w:p>
    <w:p w14:paraId="53D644E6"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Ressalta-se que do referido material foram retiradas frações representativas de cada item — analisadas individualmente. Das frações examinadas foram ainda separadas amostras para constituição de contraprova, mantidas sob custódia nesta unidade pericial, acondicionadas sob nº.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w:t>
      </w:r>
      <w:proofErr w:type="gramStart"/>
      <w:r>
        <w:rPr>
          <w:rFonts w:ascii="Times New Roman" w:hAnsi="Times New Roman" w:cs="Times New Roman"/>
          <w:b/>
          <w:bCs/>
          <w:sz w:val="24"/>
          <w:szCs w:val="24"/>
        </w:rPr>
        <w:t>CP]/</w:t>
      </w:r>
      <w:proofErr w:type="gramEnd"/>
      <w:r>
        <w:rPr>
          <w:rFonts w:ascii="Times New Roman" w:hAnsi="Times New Roman" w:cs="Times New Roman"/>
          <w:b/>
          <w:bCs/>
          <w:sz w:val="24"/>
          <w:szCs w:val="24"/>
        </w:rPr>
        <w:t>[ANO_CP]</w:t>
      </w:r>
      <w:r>
        <w:rPr>
          <w:rFonts w:ascii="Times New Roman" w:hAnsi="Times New Roman" w:cs="Times New Roman"/>
          <w:sz w:val="24"/>
          <w:szCs w:val="24"/>
        </w:rPr>
        <w:t xml:space="preserve"> nº. </w:t>
      </w:r>
      <w:r>
        <w:rPr>
          <w:rFonts w:ascii="Times New Roman" w:hAnsi="Times New Roman" w:cs="Times New Roman"/>
          <w:b/>
          <w:bCs/>
          <w:sz w:val="24"/>
          <w:szCs w:val="24"/>
        </w:rPr>
        <w:t>[ENV_CP]</w:t>
      </w:r>
      <w:r>
        <w:rPr>
          <w:rFonts w:ascii="Times New Roman" w:hAnsi="Times New Roman" w:cs="Times New Roman"/>
          <w:sz w:val="24"/>
          <w:szCs w:val="24"/>
        </w:rPr>
        <w:t>.</w:t>
      </w:r>
    </w:p>
    <w:p w14:paraId="5E1E0937" w14:textId="77777777" w:rsidR="00533532" w:rsidRPr="007B71B0" w:rsidRDefault="00533532" w:rsidP="00296B30">
      <w:pPr>
        <w:pStyle w:val="SemEspaamento"/>
      </w:pPr>
    </w:p>
    <w:p w14:paraId="41545EC5" w14:textId="77777777"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C47299"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76D38E9" w14:textId="77777777" w:rsidR="00533532" w:rsidRPr="007B71B0" w:rsidRDefault="009A2667"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2.0, 08/06/2026). </w:t>
      </w:r>
      <w:r>
        <w:rPr>
          <w:rFonts w:ascii="Times New Roman" w:eastAsia="Times New Roman" w:hAnsi="Times New Roman" w:cs="Times New Roman"/>
          <w:sz w:val="24"/>
          <w:szCs w:val="24"/>
        </w:rPr>
        <w:t xml:space="preserve">O espectrômetro </w:t>
      </w:r>
      <w:proofErr w:type="spellStart"/>
      <w:r>
        <w:rPr>
          <w:rFonts w:ascii="Times New Roman" w:eastAsia="Times New Roman" w:hAnsi="Times New Roman" w:cs="Times New Roman"/>
          <w:i/>
          <w:iCs/>
          <w:sz w:val="24"/>
          <w:szCs w:val="24"/>
        </w:rPr>
        <w:t>Bruker</w:t>
      </w:r>
      <w:proofErr w:type="spellEnd"/>
      <w:r>
        <w:rPr>
          <w:rFonts w:ascii="Times New Roman" w:eastAsia="Times New Roman" w:hAnsi="Times New Roman" w:cs="Times New Roman"/>
          <w:i/>
          <w:iCs/>
          <w:sz w:val="24"/>
          <w:szCs w:val="24"/>
        </w:rPr>
        <w:t xml:space="preserve"> Alpha II</w:t>
      </w:r>
      <w:r>
        <w:rPr>
          <w:rFonts w:ascii="Times New Roman" w:eastAsia="Times New Roman" w:hAnsi="Times New Roman" w:cs="Times New Roman"/>
          <w:sz w:val="24"/>
          <w:szCs w:val="24"/>
        </w:rPr>
        <w:t xml:space="preserve"> (nº de série [BRUKER_SN]) foi submetido ao Protocolo de Qualificação de Desempenho (OVP — </w:t>
      </w:r>
      <w:proofErr w:type="spellStart"/>
      <w:r>
        <w:rPr>
          <w:rFonts w:ascii="Times New Roman" w:eastAsia="Times New Roman" w:hAnsi="Times New Roman" w:cs="Times New Roman"/>
          <w:i/>
          <w:iCs/>
          <w:sz w:val="24"/>
          <w:szCs w:val="24"/>
        </w:rPr>
        <w:t>Operational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Verification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Protocol</w:t>
      </w:r>
      <w:proofErr w:type="spellEnd"/>
      <w:r>
        <w:rPr>
          <w:rFonts w:ascii="Times New Roman" w:eastAsia="Times New Roman" w:hAnsi="Times New Roman" w:cs="Times New Roman"/>
          <w:sz w:val="24"/>
          <w:szCs w:val="24"/>
        </w:rPr>
        <w:t xml:space="preserve"> / PQ Test, </w:t>
      </w:r>
      <w:proofErr w:type="spellStart"/>
      <w:r>
        <w:rPr>
          <w:rFonts w:ascii="Times New Roman" w:eastAsia="Times New Roman" w:hAnsi="Times New Roman" w:cs="Times New Roman"/>
          <w:sz w:val="24"/>
          <w:szCs w:val="24"/>
        </w:rPr>
        <w:t>Bruker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Optik</w:t>
      </w:r>
      <w:proofErr w:type="spellEnd"/>
      <w:r>
        <w:rPr>
          <w:rFonts w:ascii="Times New Roman" w:eastAsia="Times New Roman" w:hAnsi="Times New Roman" w:cs="Times New Roman"/>
          <w:sz w:val="24"/>
          <w:szCs w:val="24"/>
        </w:rPr>
        <w:t xml:space="preserve"> GmbH) em [OVP_DATA] às [OVP_HORA] (GMT-3), validade [OVP_VALIDADE_DATA] às [OVP_VALIDADE_HORA] (GMT-3) com resultado geral </w:t>
      </w:r>
      <w:r>
        <w:rPr>
          <w:rFonts w:ascii="Times New Roman" w:eastAsia="Times New Roman" w:hAnsi="Times New Roman" w:cs="Times New Roman"/>
          <w:b/>
          <w:bCs/>
          <w:sz w:val="24"/>
          <w:szCs w:val="24"/>
        </w:rPr>
        <w:t>PASSED</w:t>
      </w:r>
      <w:r>
        <w:rPr>
          <w:rFonts w:ascii="Times New Roman" w:eastAsia="Times New Roman" w:hAnsi="Times New Roman" w:cs="Times New Roman"/>
          <w:sz w:val="24"/>
          <w:szCs w:val="24"/>
        </w:rPr>
        <w:t xml:space="preserve"> em todos os testes obrigatórios: (i) Relação Sinal/Ruído (S/N) medida: [OVP_SN_VALUE] (mínimo exigido: 150); (</w:t>
      </w:r>
      <w:proofErr w:type="spellStart"/>
      <w:r>
        <w:rPr>
          <w:rFonts w:ascii="Times New Roman" w:eastAsia="Times New Roman" w:hAnsi="Times New Roman" w:cs="Times New Roman"/>
          <w:sz w:val="24"/>
          <w:szCs w:val="24"/>
        </w:rPr>
        <w:t>ii</w:t>
      </w:r>
      <w:proofErr w:type="spellEnd"/>
      <w:r>
        <w:rPr>
          <w:rFonts w:ascii="Times New Roman" w:eastAsia="Times New Roman" w:hAnsi="Times New Roman" w:cs="Times New Roman"/>
          <w:sz w:val="24"/>
          <w:szCs w:val="24"/>
        </w:rPr>
        <w:t>) Desvio máximo da linha 100%: [OVP_BASELINE_DEV] (máximo admissível: 2,0%); (</w:t>
      </w:r>
      <w:proofErr w:type="spellStart"/>
      <w:r>
        <w:rPr>
          <w:rFonts w:ascii="Times New Roman" w:eastAsia="Times New Roman" w:hAnsi="Times New Roman" w:cs="Times New Roman"/>
          <w:sz w:val="24"/>
          <w:szCs w:val="24"/>
        </w:rPr>
        <w:t>iii</w:t>
      </w:r>
      <w:proofErr w:type="spellEnd"/>
      <w:r>
        <w:rPr>
          <w:rFonts w:ascii="Times New Roman" w:eastAsia="Times New Roman" w:hAnsi="Times New Roman" w:cs="Times New Roman"/>
          <w:sz w:val="24"/>
          <w:szCs w:val="24"/>
        </w:rPr>
        <w:t>) Exatidão de número de onda verificada com poliestireno padrão: desvio medido de [OVP_WAVENUMBER_DEV] (máximo admissível: ±0,50 cm⁻¹). Os resultados atestam plena conformidade instrumental à época da realização dos exames.</w:t>
      </w:r>
      <w:r>
        <w:rPr>
          <w:rFonts w:ascii="Times New Roman" w:hAnsi="Times New Roman" w:cs="Times New Roman"/>
          <w:sz w:val="24"/>
          <w:szCs w:val="24"/>
        </w:rPr>
        <w:t xml:space="preserve"> </w:t>
      </w:r>
    </w:p>
    <w:p w14:paraId="342D40FA" w14:textId="77777777" w:rsidR="00533532" w:rsidRPr="007B71B0" w:rsidRDefault="00533532" w:rsidP="00296B30">
      <w:pPr>
        <w:pStyle w:val="SemEspaamento"/>
      </w:pPr>
    </w:p>
    <w:p w14:paraId="472273E3"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0FC4A6B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063D108E" w14:textId="77777777" w:rsidR="00533532" w:rsidRPr="007B71B0" w:rsidRDefault="00533532" w:rsidP="00296B30">
      <w:pPr>
        <w:pStyle w:val="SemEspaamento"/>
      </w:pPr>
    </w:p>
    <w:p w14:paraId="6FB0C909" w14:textId="77777777"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2.3.   Espectroscopia no Infravermelho por Transformada de Fourier (FTIR-ATR)</w:t>
      </w:r>
    </w:p>
    <w:p w14:paraId="53B33102" w14:textId="77777777" w:rsidR="005744BD" w:rsidRDefault="00E61541" w:rsidP="005744BD">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dos itens questionados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w:t>
      </w:r>
      <w:r w:rsidR="005744BD">
        <w:rPr>
          <w:rFonts w:ascii="Times New Roman" w:hAnsi="Times New Roman" w:cs="Times New Roman"/>
          <w:sz w:val="24"/>
          <w:szCs w:val="24"/>
        </w:rPr>
        <w:t>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3D11A177" w14:textId="1C6C02B4" w:rsidR="00CE1DD4" w:rsidRPr="007B71B0" w:rsidRDefault="005744BD" w:rsidP="005744BD">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Espectrômetro </w:t>
      </w:r>
      <w:proofErr w:type="spellStart"/>
      <w:r>
        <w:rPr>
          <w:rStyle w:val="Forte"/>
          <w:rFonts w:ascii="Times New Roman" w:hAnsi="Times New Roman" w:cs="Times New Roman"/>
          <w:b w:val="0"/>
          <w:bCs w:val="0"/>
          <w:i/>
          <w:iCs/>
          <w:sz w:val="24"/>
          <w:szCs w:val="24"/>
        </w:rPr>
        <w:t>Bruker</w:t>
      </w:r>
      <w:proofErr w:type="spellEnd"/>
      <w:r>
        <w:rPr>
          <w:rStyle w:val="Forte"/>
          <w:rFonts w:ascii="Times New Roman" w:hAnsi="Times New Roman" w:cs="Times New Roman"/>
          <w:b w:val="0"/>
          <w:bCs w:val="0"/>
          <w:i/>
          <w:iCs/>
          <w:sz w:val="24"/>
          <w:szCs w:val="24"/>
        </w:rPr>
        <w:t xml:space="preserve"> Alpha II</w:t>
      </w:r>
      <w:r>
        <w:rPr>
          <w:rFonts w:ascii="Times New Roman" w:hAnsi="Times New Roman" w:cs="Times New Roman"/>
          <w:sz w:val="24"/>
          <w:szCs w:val="24"/>
        </w:rPr>
        <w:t xml:space="preserve"> (nº de série 210363), equipado com acessório de Reflectância Total Atenuada (ATR) com cristal de diamante (ATR Platinum T — 1 reflexão), operando na região espectral de 4000 a 650 cm⁻¹, com 16 varreduras (</w:t>
      </w:r>
      <w:proofErr w:type="spellStart"/>
      <w:r>
        <w:rPr>
          <w:rStyle w:val="nfase"/>
          <w:rFonts w:ascii="Times New Roman" w:hAnsi="Times New Roman" w:cs="Times New Roman"/>
          <w:sz w:val="24"/>
          <w:szCs w:val="24"/>
        </w:rPr>
        <w:t>scans</w:t>
      </w:r>
      <w:proofErr w:type="spellEnd"/>
      <w:r>
        <w:rPr>
          <w:rFonts w:ascii="Times New Roman" w:hAnsi="Times New Roman" w:cs="Times New Roman"/>
          <w:sz w:val="24"/>
          <w:szCs w:val="24"/>
        </w:rPr>
        <w:t xml:space="preserve">) e resolução de 4 cm⁻¹. O processamento e a identificação espectral foram realizados pelo software </w:t>
      </w:r>
      <w:r>
        <w:rPr>
          <w:rStyle w:val="nfase"/>
          <w:rFonts w:ascii="Times New Roman" w:hAnsi="Times New Roman" w:cs="Times New Roman"/>
          <w:sz w:val="24"/>
          <w:szCs w:val="24"/>
        </w:rPr>
        <w:t xml:space="preserve">OPUS </w:t>
      </w:r>
      <w:proofErr w:type="spellStart"/>
      <w:r>
        <w:rPr>
          <w:rStyle w:val="nfase"/>
          <w:rFonts w:ascii="Times New Roman" w:hAnsi="Times New Roman" w:cs="Times New Roman"/>
          <w:sz w:val="24"/>
          <w:szCs w:val="24"/>
        </w:rPr>
        <w:t>DrugID</w:t>
      </w:r>
      <w:proofErr w:type="spellEnd"/>
      <w:r>
        <w:rPr>
          <w:rStyle w:val="nfase"/>
          <w:rFonts w:ascii="Times New Roman" w:hAnsi="Times New Roman" w:cs="Times New Roman"/>
          <w:sz w:val="24"/>
          <w:szCs w:val="24"/>
        </w:rPr>
        <w:t xml:space="preserve"> </w:t>
      </w:r>
      <w:proofErr w:type="spellStart"/>
      <w:r>
        <w:rPr>
          <w:rStyle w:val="nfase"/>
          <w:rFonts w:ascii="Times New Roman" w:hAnsi="Times New Roman" w:cs="Times New Roman"/>
          <w:sz w:val="24"/>
          <w:szCs w:val="24"/>
        </w:rPr>
        <w:t>Wizard</w:t>
      </w:r>
      <w:proofErr w:type="spellEnd"/>
      <w:r>
        <w:rPr>
          <w:rFonts w:ascii="Times New Roman" w:hAnsi="Times New Roman" w:cs="Times New Roman"/>
          <w:sz w:val="24"/>
          <w:szCs w:val="24"/>
        </w:rPr>
        <w:t>, versão 8.2 Build 8.2.28 / DB 8.2.28.242 (</w:t>
      </w:r>
      <w:proofErr w:type="spellStart"/>
      <w:r>
        <w:rPr>
          <w:rFonts w:ascii="Times New Roman" w:hAnsi="Times New Roman" w:cs="Times New Roman"/>
          <w:sz w:val="24"/>
          <w:szCs w:val="24"/>
        </w:rPr>
        <w:t>Bruker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Optik</w:t>
      </w:r>
      <w:proofErr w:type="spellEnd"/>
      <w:r>
        <w:rPr>
          <w:rFonts w:ascii="Times New Roman" w:hAnsi="Times New Roman" w:cs="Times New Roman"/>
          <w:sz w:val="24"/>
          <w:szCs w:val="24"/>
        </w:rPr>
        <w:t xml:space="preserve"> GmbH).</w:t>
      </w:r>
    </w:p>
    <w:p w14:paraId="686C1D62" w14:textId="77777777"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identificação das bandas 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w:t>
      </w:r>
      <w:r>
        <w:rPr>
          <w:rStyle w:val="Refdenotaderodap"/>
          <w:rFonts w:ascii="Times New Roman" w:hAnsi="Times New Roman" w:cs="Times New Roman"/>
          <w:sz w:val="24"/>
          <w:szCs w:val="24"/>
        </w:rPr>
        <w:footnoteReference w:id="2"/>
      </w:r>
      <w:r>
        <w:rPr>
          <w:rFonts w:ascii="Times New Roman" w:hAnsi="Times New Roman" w:cs="Times New Roman"/>
          <w:sz w:val="24"/>
          <w:szCs w:val="24"/>
        </w:rPr>
        <w:t xml:space="preserve"> A tolerância declarada de ±4 cm⁻¹ é tecnicamente conservadora em relação à exatidão </w:t>
      </w:r>
      <w:r>
        <w:rPr>
          <w:rFonts w:ascii="Times New Roman" w:hAnsi="Times New Roman" w:cs="Times New Roman"/>
          <w:sz w:val="24"/>
          <w:szCs w:val="24"/>
        </w:rPr>
        <w:lastRenderedPageBreak/>
        <w:t>de número de onda verificada instrumentalmente pelo OVP vigente, conferindo margem analítica adicional de segurança às identificações realizadas.</w:t>
      </w:r>
    </w:p>
    <w:p w14:paraId="16B01990" w14:textId="77777777" w:rsidR="00256A8B" w:rsidRPr="00256A8B" w:rsidRDefault="00256A8B" w:rsidP="00256A8B">
      <w:pPr>
        <w:jc w:val="center"/>
        <w:rPr>
          <w:rFonts w:ascii="Times New Roman" w:hAnsi="Times New Roman" w:cs="Times New Roman"/>
          <w:i/>
          <w:iCs/>
          <w:sz w:val="20"/>
          <w:szCs w:val="20"/>
        </w:rPr>
      </w:pPr>
      <w:r>
        <w:rPr>
          <w:noProof/>
        </w:rPr>
        <w:drawing>
          <wp:anchor distT="0" distB="0" distL="114300" distR="114300" simplePos="0" relativeHeight="251659264" behindDoc="0" locked="0" layoutInCell="1" allowOverlap="1" wp14:anchorId="1FD29153" wp14:editId="6C1DD678">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7CD15E6F" w14:textId="7777777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0720C037" w14:textId="77777777" w:rsidR="00533532" w:rsidRPr="00296B30" w:rsidRDefault="00533532" w:rsidP="00296B30">
      <w:pPr>
        <w:pStyle w:val="SemEspaamento"/>
      </w:pPr>
    </w:p>
    <w:p w14:paraId="0E7AA313" w14:textId="77777777"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11CEC002" w14:textId="77777777" w:rsidR="00533532" w:rsidRPr="004622F5" w:rsidRDefault="004A4051" w:rsidP="004622F5">
      <w:pPr>
        <w:pStyle w:val="Ttulo2"/>
        <w:spacing w:before="120"/>
        <w:jc w:val="both"/>
        <w:rPr>
          <w:rFonts w:ascii="Times New Roman" w:hAnsi="Times New Roman" w:cs="Times New Roman"/>
          <w:sz w:val="24"/>
          <w:szCs w:val="24"/>
        </w:rPr>
      </w:pPr>
      <w:bookmarkStart w:id="0" w:name="_Hlk231492446"/>
      <w:r>
        <w:rPr>
          <w:rFonts w:ascii="Times New Roman" w:hAnsi="Times New Roman" w:cs="Times New Roman"/>
          <w:sz w:val="24"/>
          <w:szCs w:val="24"/>
        </w:rPr>
        <w:t>3.1   Análise por FTIR-ATR — Item d.</w:t>
      </w:r>
    </w:p>
    <w:p w14:paraId="43A8D7BB" w14:textId="77777777" w:rsidR="00533532" w:rsidRPr="004622F5" w:rsidRDefault="004A4051" w:rsidP="004622F5">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mediante comparação com biblioteca espectral de referência por meio do software </w:t>
      </w:r>
      <w:r>
        <w:rPr>
          <w:rFonts w:ascii="Times New Roman" w:eastAsia="Times New Roman" w:hAnsi="Times New Roman" w:cs="Times New Roman"/>
          <w:i/>
          <w:iCs/>
          <w:sz w:val="24"/>
          <w:szCs w:val="24"/>
        </w:rPr>
        <w:t xml:space="preserve">OPUS </w:t>
      </w:r>
      <w:proofErr w:type="spellStart"/>
      <w:r>
        <w:rPr>
          <w:rFonts w:ascii="Times New Roman" w:eastAsia="Times New Roman" w:hAnsi="Times New Roman" w:cs="Times New Roman"/>
          <w:i/>
          <w:iCs/>
          <w:sz w:val="24"/>
          <w:szCs w:val="24"/>
        </w:rPr>
        <w:t>DrugID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Wizard</w:t>
      </w:r>
      <w:proofErr w:type="spellEnd"/>
      <w:r>
        <w:rPr>
          <w:rFonts w:ascii="Times New Roman" w:hAnsi="Times New Roman" w:cs="Times New Roman"/>
          <w:sz w:val="24"/>
          <w:szCs w:val="24"/>
        </w:rPr>
        <w:t xml:space="preserve">, o espectro obtido apresentou compatibilidade com mistura de três compostos: </w:t>
      </w:r>
      <w:r>
        <w:rPr>
          <w:rFonts w:ascii="Times New Roman" w:hAnsi="Times New Roman" w:cs="Times New Roman"/>
          <w:b/>
          <w:bCs/>
          <w:sz w:val="24"/>
          <w:szCs w:val="24"/>
        </w:rPr>
        <w:t>[COMPOSTO_1]</w:t>
      </w:r>
      <w:r>
        <w:rPr>
          <w:rFonts w:ascii="Times New Roman" w:hAnsi="Times New Roman" w:cs="Times New Roman"/>
          <w:sz w:val="24"/>
          <w:szCs w:val="24"/>
        </w:rPr>
        <w:t xml:space="preserve"> ([TEOR_</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 xml:space="preserve"> do espectro), </w:t>
      </w:r>
      <w:r>
        <w:rPr>
          <w:rFonts w:ascii="Times New Roman" w:hAnsi="Times New Roman" w:cs="Times New Roman"/>
          <w:b/>
          <w:bCs/>
          <w:sz w:val="24"/>
          <w:szCs w:val="24"/>
        </w:rPr>
        <w:t>[COMPOSTO_2]</w:t>
      </w:r>
      <w:r>
        <w:rPr>
          <w:rFonts w:ascii="Times New Roman" w:hAnsi="Times New Roman" w:cs="Times New Roman"/>
          <w:sz w:val="24"/>
          <w:szCs w:val="24"/>
        </w:rPr>
        <w:t xml:space="preserve"> ([TEOR_2]%) e </w:t>
      </w:r>
      <w:r>
        <w:rPr>
          <w:rFonts w:ascii="Times New Roman" w:hAnsi="Times New Roman" w:cs="Times New Roman"/>
          <w:b/>
          <w:bCs/>
          <w:sz w:val="24"/>
          <w:szCs w:val="24"/>
        </w:rPr>
        <w:t>[COMPOSTO_3]</w:t>
      </w:r>
      <w:r>
        <w:rPr>
          <w:rFonts w:ascii="Times New Roman" w:hAnsi="Times New Roman" w:cs="Times New Roman"/>
          <w:sz w:val="24"/>
          <w:szCs w:val="24"/>
        </w:rPr>
        <w:t xml:space="preserve"> ([TEOR_3]%). Nenhum dos compostos identificados consta nas listas de substâncias entorpecentes ou psicotrópicas sob controle especial da Portaria SVS/MS nº 344, de 12/05/1998, e atualizações posteriores (ANVISA). A discriminação dos compostos, com respectivos identificadores químicos, consta na Tabela 2.</w:t>
      </w:r>
    </w:p>
    <w:p w14:paraId="3F68F3F4" w14:textId="77777777" w:rsidR="000465E9" w:rsidRDefault="00024ECE">
      <w:pPr>
        <w:pStyle w:val="PargrafodaLista"/>
        <w:spacing w:before="80" w:after="80"/>
        <w:jc w:val="both"/>
      </w:pPr>
      <w:r>
        <w:rPr>
          <w:rFonts w:ascii="Times New Roman" w:hAnsi="Times New Roman" w:cs="Times New Roman"/>
          <w:sz w:val="24"/>
          <w:szCs w:val="24"/>
        </w:rPr>
        <w:t xml:space="preserve">Biblioteca espectral consultada: </w:t>
      </w:r>
      <w:r>
        <w:rPr>
          <w:rFonts w:ascii="Times New Roman" w:hAnsi="Times New Roman" w:cs="Times New Roman"/>
          <w:b/>
          <w:sz w:val="24"/>
          <w:szCs w:val="24"/>
        </w:rPr>
        <w:t>[BIBLIOTECA]</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xml:space="preserve">; Hit </w:t>
      </w:r>
      <w:proofErr w:type="spellStart"/>
      <w:r>
        <w:rPr>
          <w:rFonts w:ascii="Times New Roman" w:hAnsi="Times New Roman" w:cs="Times New Roman"/>
          <w:sz w:val="24"/>
          <w:szCs w:val="24"/>
        </w:rPr>
        <w:t>Quality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Content</w:t>
      </w:r>
      <w:proofErr w:type="spellEnd"/>
      <w:r>
        <w:rPr>
          <w:rFonts w:ascii="Times New Roman" w:hAnsi="Times New Roman" w:cs="Times New Roman"/>
          <w:sz w:val="24"/>
          <w:szCs w:val="24"/>
        </w:rPr>
        <w:t xml:space="preserve"> (%): </w:t>
      </w:r>
      <w:r>
        <w:rPr>
          <w:rFonts w:ascii="Times New Roman" w:hAnsi="Times New Roman" w:cs="Times New Roman"/>
          <w:b/>
          <w:sz w:val="24"/>
          <w:szCs w:val="24"/>
        </w:rPr>
        <w:t>[HIT_QUALITY]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sz w:val="24"/>
          <w:szCs w:val="24"/>
        </w:rPr>
        <w:t>; Data/hora da medição: [DATA_ESP] (espectro comparativo detalhado na Figura 2, a seguir).</w:t>
      </w:r>
    </w:p>
    <w:p w14:paraId="51024F8F" w14:textId="77777777" w:rsidR="005744BD" w:rsidRDefault="005744BD">
      <w:pPr>
        <w:pStyle w:val="PargrafodaLista"/>
        <w:spacing w:before="80" w:after="80"/>
        <w:jc w:val="both"/>
        <w:rPr>
          <w:rFonts w:ascii="Times New Roman" w:hAnsi="Times New Roman" w:cs="Times New Roman"/>
          <w:sz w:val="24"/>
          <w:szCs w:val="24"/>
        </w:rPr>
      </w:pPr>
    </w:p>
    <w:p w14:paraId="3863BB5F" w14:textId="614C8E77" w:rsidR="000465E9" w:rsidRDefault="00024ECE">
      <w:pPr>
        <w:pStyle w:val="PargrafodaLista"/>
        <w:spacing w:before="80" w:after="80"/>
        <w:jc w:val="both"/>
      </w:pPr>
      <w:r>
        <w:rPr>
          <w:rFonts w:ascii="Times New Roman" w:hAnsi="Times New Roman" w:cs="Times New Roman"/>
          <w:sz w:val="24"/>
          <w:szCs w:val="24"/>
        </w:rPr>
        <w:t xml:space="preserve">[PENDENTE: inserir Figura — captura de tela do relatório Library Search (OPUS </w:t>
      </w:r>
      <w:proofErr w:type="spellStart"/>
      <w:r>
        <w:rPr>
          <w:rFonts w:ascii="Times New Roman" w:hAnsi="Times New Roman" w:cs="Times New Roman"/>
          <w:sz w:val="24"/>
          <w:szCs w:val="24"/>
        </w:rPr>
        <w:t>DrugID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Wizard</w:t>
      </w:r>
      <w:proofErr w:type="spellEnd"/>
      <w:r>
        <w:rPr>
          <w:rFonts w:ascii="Times New Roman" w:hAnsi="Times New Roman" w:cs="Times New Roman"/>
          <w:sz w:val="24"/>
          <w:szCs w:val="24"/>
        </w:rPr>
        <w:t>) com o espectro da amostra, espectro de referência e tabela de metadados]</w:t>
      </w:r>
    </w:p>
    <w:p w14:paraId="6517FC48" w14:textId="60B3031B" w:rsidR="000465E9" w:rsidRDefault="00024ECE">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t>Figura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espectral por FTIR-ATR entre o espectro obtido da amostra questionada (traçado superior) e o espectro de referência da biblioteca espectral consultada (tr</w:t>
      </w:r>
      <w:r>
        <w:rPr>
          <w:rFonts w:ascii="Times New Roman" w:hAnsi="Times New Roman" w:cs="Times New Roman"/>
          <w:i/>
          <w:sz w:val="20"/>
          <w:szCs w:val="20"/>
        </w:rPr>
        <w:t xml:space="preserve">açado inferior), processada pelo software OPUS </w:t>
      </w:r>
      <w:proofErr w:type="spellStart"/>
      <w:r>
        <w:rPr>
          <w:rFonts w:ascii="Times New Roman" w:hAnsi="Times New Roman" w:cs="Times New Roman"/>
          <w:i/>
          <w:sz w:val="20"/>
          <w:szCs w:val="20"/>
        </w:rPr>
        <w:t>DrugID</w:t>
      </w:r>
      <w:proofErr w:type="spellEnd"/>
      <w:r>
        <w:rPr>
          <w:rFonts w:ascii="Times New Roman" w:hAnsi="Times New Roman" w:cs="Times New Roman"/>
          <w:i/>
          <w:sz w:val="20"/>
          <w:szCs w:val="20"/>
        </w:rPr>
        <w:t xml:space="preserve"> </w:t>
      </w:r>
      <w:proofErr w:type="spellStart"/>
      <w:r>
        <w:rPr>
          <w:rFonts w:ascii="Times New Roman" w:hAnsi="Times New Roman" w:cs="Times New Roman"/>
          <w:i/>
          <w:sz w:val="20"/>
          <w:szCs w:val="20"/>
        </w:rPr>
        <w:t>Wizard</w:t>
      </w:r>
      <w:proofErr w:type="spellEnd"/>
      <w:r>
        <w:rPr>
          <w:rFonts w:ascii="Times New Roman" w:hAnsi="Times New Roman" w:cs="Times New Roman"/>
          <w:i/>
          <w:sz w:val="20"/>
          <w:szCs w:val="20"/>
        </w:rPr>
        <w:t xml:space="preserve"> (</w:t>
      </w:r>
      <w:proofErr w:type="spellStart"/>
      <w:r>
        <w:rPr>
          <w:rFonts w:ascii="Times New Roman" w:hAnsi="Times New Roman" w:cs="Times New Roman"/>
          <w:i/>
          <w:sz w:val="20"/>
          <w:szCs w:val="20"/>
        </w:rPr>
        <w:t>Bruker</w:t>
      </w:r>
      <w:proofErr w:type="spellEnd"/>
      <w:r>
        <w:rPr>
          <w:rFonts w:ascii="Times New Roman" w:hAnsi="Times New Roman" w:cs="Times New Roman"/>
          <w:i/>
          <w:sz w:val="20"/>
          <w:szCs w:val="20"/>
        </w:rPr>
        <w:t xml:space="preserve"> </w:t>
      </w:r>
      <w:proofErr w:type="spellStart"/>
      <w:r>
        <w:rPr>
          <w:rFonts w:ascii="Times New Roman" w:hAnsi="Times New Roman" w:cs="Times New Roman"/>
          <w:i/>
          <w:sz w:val="20"/>
          <w:szCs w:val="20"/>
        </w:rPr>
        <w:t>Optik</w:t>
      </w:r>
      <w:proofErr w:type="spellEnd"/>
      <w:r>
        <w:rPr>
          <w:rFonts w:ascii="Times New Roman" w:hAnsi="Times New Roman" w:cs="Times New Roman"/>
          <w:i/>
          <w:sz w:val="20"/>
          <w:szCs w:val="20"/>
        </w:rPr>
        <w:t xml:space="preserve"> GmbH), com indicação do índice de correspondência (Hit </w:t>
      </w:r>
      <w:proofErr w:type="spellStart"/>
      <w:r>
        <w:rPr>
          <w:rFonts w:ascii="Times New Roman" w:hAnsi="Times New Roman" w:cs="Times New Roman"/>
          <w:i/>
          <w:sz w:val="20"/>
          <w:szCs w:val="20"/>
        </w:rPr>
        <w:t>Quality</w:t>
      </w:r>
      <w:proofErr w:type="spellEnd"/>
      <w:r>
        <w:rPr>
          <w:rFonts w:ascii="Times New Roman" w:hAnsi="Times New Roman" w:cs="Times New Roman"/>
          <w:i/>
          <w:sz w:val="20"/>
          <w:szCs w:val="20"/>
        </w:rPr>
        <w:t>/</w:t>
      </w:r>
      <w:proofErr w:type="spellStart"/>
      <w:r>
        <w:rPr>
          <w:rFonts w:ascii="Times New Roman" w:hAnsi="Times New Roman" w:cs="Times New Roman"/>
          <w:i/>
          <w:sz w:val="20"/>
          <w:szCs w:val="20"/>
        </w:rPr>
        <w:t>Content</w:t>
      </w:r>
      <w:proofErr w:type="spellEnd"/>
      <w:r>
        <w:rPr>
          <w:rFonts w:ascii="Times New Roman" w:hAnsi="Times New Roman" w:cs="Times New Roman"/>
          <w:i/>
          <w:sz w:val="20"/>
          <w:szCs w:val="20"/>
        </w:rPr>
        <w:t>) e das demais informações de identificação espectral.</w:t>
      </w:r>
    </w:p>
    <w:p w14:paraId="4E8AFAB3" w14:textId="77777777" w:rsidR="005744BD" w:rsidRDefault="005744BD">
      <w:pPr>
        <w:pStyle w:val="PargrafodaLista"/>
        <w:spacing w:before="80" w:after="80"/>
        <w:jc w:val="both"/>
      </w:pPr>
    </w:p>
    <w:tbl>
      <w:tblPr>
        <w:tblStyle w:val="TabeladeGrade4-nfase1"/>
        <w:tblW w:w="9660" w:type="dxa"/>
        <w:tblLook w:val="04A0" w:firstRow="1" w:lastRow="0" w:firstColumn="1" w:lastColumn="0" w:noHBand="0" w:noVBand="1"/>
      </w:tblPr>
      <w:tblGrid>
        <w:gridCol w:w="2400"/>
        <w:gridCol w:w="1500"/>
        <w:gridCol w:w="2400"/>
        <w:gridCol w:w="1900"/>
        <w:gridCol w:w="1460"/>
      </w:tblGrid>
      <w:tr w:rsidR="00B777C4" w14:paraId="6277DB6B" w14:textId="77777777" w:rsidTr="00B777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4364F04" w14:textId="77777777" w:rsidR="00533532" w:rsidRDefault="004A4051">
            <w:pPr>
              <w:spacing w:before="40" w:after="40"/>
              <w:jc w:val="center"/>
              <w:rPr>
                <w:rFonts w:ascii="Times New Roman" w:hAnsi="Times New Roman" w:cs="Times New Roman"/>
                <w:sz w:val="20"/>
                <w:szCs w:val="20"/>
              </w:rPr>
            </w:pPr>
            <w:r>
              <w:rPr>
                <w:rFonts w:ascii="Times New Roman" w:hAnsi="Times New Roman" w:cs="Times New Roman"/>
                <w:sz w:val="20"/>
                <w:szCs w:val="20"/>
              </w:rPr>
              <w:t>Composto</w:t>
            </w:r>
          </w:p>
        </w:tc>
        <w:tc>
          <w:tcPr>
            <w:tcW w:w="1500" w:type="dxa"/>
          </w:tcPr>
          <w:p w14:paraId="128225C5" w14:textId="77777777" w:rsidR="00533532" w:rsidRDefault="004A4051">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Nº CAS</w:t>
            </w:r>
          </w:p>
        </w:tc>
        <w:tc>
          <w:tcPr>
            <w:tcW w:w="2400" w:type="dxa"/>
          </w:tcPr>
          <w:p w14:paraId="25EFBDD3" w14:textId="77777777" w:rsidR="00533532" w:rsidRDefault="004A4051">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Fórmula molecular</w:t>
            </w:r>
          </w:p>
        </w:tc>
        <w:tc>
          <w:tcPr>
            <w:tcW w:w="1900" w:type="dxa"/>
          </w:tcPr>
          <w:p w14:paraId="79521786" w14:textId="77777777" w:rsidR="00533532" w:rsidRDefault="004A4051">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molar (g/mol)</w:t>
            </w:r>
          </w:p>
        </w:tc>
        <w:tc>
          <w:tcPr>
            <w:tcW w:w="1460" w:type="dxa"/>
          </w:tcPr>
          <w:p w14:paraId="5D5D61A5" w14:textId="77777777" w:rsidR="00533532" w:rsidRDefault="004A4051">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Teor no espectro (%)</w:t>
            </w:r>
          </w:p>
        </w:tc>
      </w:tr>
      <w:tr w:rsidR="00B777C4" w14:paraId="1D20557E" w14:textId="77777777" w:rsidTr="00B77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B2987F7" w14:textId="77777777" w:rsidR="00533532" w:rsidRDefault="004A4051">
            <w:pPr>
              <w:spacing w:before="40" w:after="40"/>
              <w:jc w:val="center"/>
              <w:rPr>
                <w:rFonts w:ascii="Times New Roman" w:hAnsi="Times New Roman" w:cs="Times New Roman"/>
                <w:sz w:val="20"/>
                <w:szCs w:val="20"/>
              </w:rPr>
            </w:pPr>
            <w:r>
              <w:rPr>
                <w:rFonts w:ascii="Times New Roman" w:hAnsi="Times New Roman" w:cs="Times New Roman"/>
                <w:sz w:val="20"/>
                <w:szCs w:val="20"/>
              </w:rPr>
              <w:t>[COMPOSTO_1]</w:t>
            </w:r>
          </w:p>
        </w:tc>
        <w:tc>
          <w:tcPr>
            <w:tcW w:w="1500" w:type="dxa"/>
          </w:tcPr>
          <w:p w14:paraId="7351DE60"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[CAS_1]</w:t>
            </w:r>
          </w:p>
        </w:tc>
        <w:tc>
          <w:tcPr>
            <w:tcW w:w="2400" w:type="dxa"/>
          </w:tcPr>
          <w:p w14:paraId="26CD0C4D"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[FORMULA_1]</w:t>
            </w:r>
          </w:p>
        </w:tc>
        <w:tc>
          <w:tcPr>
            <w:tcW w:w="1900" w:type="dxa"/>
          </w:tcPr>
          <w:p w14:paraId="235DB087"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[PM_1]</w:t>
            </w:r>
          </w:p>
        </w:tc>
        <w:tc>
          <w:tcPr>
            <w:tcW w:w="1460" w:type="dxa"/>
          </w:tcPr>
          <w:p w14:paraId="5C49FA9E"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[TEOR_1]</w:t>
            </w:r>
          </w:p>
        </w:tc>
      </w:tr>
      <w:tr w:rsidR="00B777C4" w14:paraId="3E72D76D" w14:textId="77777777" w:rsidTr="00B777C4">
        <w:tc>
          <w:tcPr>
            <w:cnfStyle w:val="001000000000" w:firstRow="0" w:lastRow="0" w:firstColumn="1" w:lastColumn="0" w:oddVBand="0" w:evenVBand="0" w:oddHBand="0" w:evenHBand="0" w:firstRowFirstColumn="0" w:firstRowLastColumn="0" w:lastRowFirstColumn="0" w:lastRowLastColumn="0"/>
            <w:tcW w:w="2400" w:type="dxa"/>
          </w:tcPr>
          <w:p w14:paraId="7C7C914C" w14:textId="77777777" w:rsidR="00533532" w:rsidRDefault="004A4051">
            <w:pPr>
              <w:spacing w:before="40" w:after="40"/>
              <w:jc w:val="center"/>
              <w:rPr>
                <w:rFonts w:ascii="Times New Roman" w:hAnsi="Times New Roman" w:cs="Times New Roman"/>
                <w:sz w:val="20"/>
                <w:szCs w:val="20"/>
              </w:rPr>
            </w:pPr>
            <w:r>
              <w:rPr>
                <w:rFonts w:ascii="Times New Roman" w:hAnsi="Times New Roman" w:cs="Times New Roman"/>
                <w:sz w:val="20"/>
                <w:szCs w:val="20"/>
              </w:rPr>
              <w:t>[COMPOSTO_2]</w:t>
            </w:r>
          </w:p>
        </w:tc>
        <w:tc>
          <w:tcPr>
            <w:tcW w:w="1500" w:type="dxa"/>
          </w:tcPr>
          <w:p w14:paraId="51DEF83C" w14:textId="77777777" w:rsidR="00533532" w:rsidRDefault="004A4051">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[CAS_2]</w:t>
            </w:r>
          </w:p>
        </w:tc>
        <w:tc>
          <w:tcPr>
            <w:tcW w:w="2400" w:type="dxa"/>
          </w:tcPr>
          <w:p w14:paraId="71E5F7BA" w14:textId="77777777" w:rsidR="00533532" w:rsidRDefault="004A4051">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[FORMULA_2]</w:t>
            </w:r>
          </w:p>
        </w:tc>
        <w:tc>
          <w:tcPr>
            <w:tcW w:w="1900" w:type="dxa"/>
          </w:tcPr>
          <w:p w14:paraId="1E5D83EC" w14:textId="77777777" w:rsidR="00533532" w:rsidRDefault="004A4051">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[PM_2]</w:t>
            </w:r>
          </w:p>
        </w:tc>
        <w:tc>
          <w:tcPr>
            <w:tcW w:w="1460" w:type="dxa"/>
          </w:tcPr>
          <w:p w14:paraId="049AB733" w14:textId="77777777" w:rsidR="00533532" w:rsidRDefault="004A4051">
            <w:pPr>
              <w:spacing w:before="4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[TEOR_2]</w:t>
            </w:r>
          </w:p>
        </w:tc>
      </w:tr>
      <w:tr w:rsidR="00B777C4" w14:paraId="5B82688A" w14:textId="77777777" w:rsidTr="00B777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6BF3767" w14:textId="77777777" w:rsidR="00533532" w:rsidRDefault="004A4051">
            <w:pPr>
              <w:spacing w:before="40" w:after="40"/>
              <w:jc w:val="center"/>
              <w:rPr>
                <w:rFonts w:ascii="Times New Roman" w:hAnsi="Times New Roman" w:cs="Times New Roman"/>
                <w:sz w:val="20"/>
                <w:szCs w:val="20"/>
              </w:rPr>
            </w:pPr>
            <w:r>
              <w:rPr>
                <w:rFonts w:ascii="Times New Roman" w:hAnsi="Times New Roman" w:cs="Times New Roman"/>
                <w:sz w:val="20"/>
                <w:szCs w:val="20"/>
              </w:rPr>
              <w:t>[COMPOSTO_3]</w:t>
            </w:r>
          </w:p>
        </w:tc>
        <w:tc>
          <w:tcPr>
            <w:tcW w:w="1500" w:type="dxa"/>
          </w:tcPr>
          <w:p w14:paraId="00BD5D36"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[CAS_3]</w:t>
            </w:r>
          </w:p>
        </w:tc>
        <w:tc>
          <w:tcPr>
            <w:tcW w:w="2400" w:type="dxa"/>
          </w:tcPr>
          <w:p w14:paraId="7BAD9E94"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[FORMULA_3]</w:t>
            </w:r>
          </w:p>
        </w:tc>
        <w:tc>
          <w:tcPr>
            <w:tcW w:w="1900" w:type="dxa"/>
          </w:tcPr>
          <w:p w14:paraId="4EA99C49"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[PM_3]</w:t>
            </w:r>
          </w:p>
        </w:tc>
        <w:tc>
          <w:tcPr>
            <w:tcW w:w="1460" w:type="dxa"/>
          </w:tcPr>
          <w:p w14:paraId="5BDD7FF3" w14:textId="77777777" w:rsidR="00533532" w:rsidRDefault="004A4051">
            <w:pPr>
              <w:spacing w:before="4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[TEOR_3]</w:t>
            </w:r>
          </w:p>
        </w:tc>
      </w:tr>
    </w:tbl>
    <w:p w14:paraId="34F1591D" w14:textId="77777777" w:rsidR="00533532" w:rsidRPr="007A6772" w:rsidRDefault="004A4051" w:rsidP="001C73AF">
      <w:pPr>
        <w:spacing w:before="80" w:after="80"/>
        <w:rPr>
          <w:rFonts w:ascii="Times New Roman" w:hAnsi="Times New Roman" w:cs="Times New Roman"/>
          <w:sz w:val="20"/>
          <w:szCs w:val="20"/>
        </w:rPr>
      </w:pPr>
      <w:r>
        <w:rPr>
          <w:rStyle w:val="Forte"/>
          <w:rFonts w:ascii="Times New Roman" w:hAnsi="Times New Roman" w:cs="Times New Roman"/>
          <w:sz w:val="20"/>
          <w:szCs w:val="20"/>
        </w:rPr>
        <w:t>Tabela 2</w:t>
      </w:r>
      <w:r>
        <w:rPr>
          <w:rStyle w:val="Forte"/>
          <w:rFonts w:ascii="Times New Roman" w:hAnsi="Times New Roman" w:cs="Times New Roman"/>
          <w:i/>
          <w:sz w:val="20"/>
          <w:szCs w:val="20"/>
        </w:rPr>
        <w:t>.</w:t>
      </w:r>
      <w:r>
        <w:rPr>
          <w:rFonts w:ascii="Times New Roman" w:hAnsi="Times New Roman" w:cs="Times New Roman"/>
          <w:i/>
          <w:sz w:val="20"/>
          <w:szCs w:val="20"/>
        </w:rPr>
        <w:t xml:space="preserve"> Identificação dos componentes por comparação com biblioteca espectral de referência (FTIR-ATR).</w:t>
      </w:r>
    </w:p>
    <w:bookmarkEnd w:id="0"/>
    <w:p w14:paraId="29F4855A" w14:textId="77777777" w:rsidR="00A05F41" w:rsidRPr="00B043CE" w:rsidRDefault="00A05F41" w:rsidP="00A05F4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3"/>
      </w:r>
    </w:p>
    <w:p w14:paraId="24ACA30A" w14:textId="77777777" w:rsidR="00533532" w:rsidRPr="00B043CE" w:rsidRDefault="004A4051" w:rsidP="001D12DE">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Com fundamento no exame realizado —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0DF78C34" w14:textId="77777777" w:rsidR="00533532" w:rsidRPr="00B043CE" w:rsidRDefault="00533532">
      <w:pPr>
        <w:rPr>
          <w:rFonts w:ascii="Times New Roman" w:hAnsi="Times New Roman" w:cs="Times New Roman"/>
          <w:sz w:val="24"/>
          <w:szCs w:val="24"/>
        </w:rPr>
      </w:pPr>
      <w:bookmarkStart w:id="1" w:name="_Hlk231493053"/>
    </w:p>
    <w:tbl>
      <w:tblPr>
        <w:tblStyle w:val="TabeladeGrade4-nfase1"/>
        <w:tblW w:w="9638" w:type="dxa"/>
        <w:tblLook w:val="04A0" w:firstRow="1" w:lastRow="0" w:firstColumn="1" w:lastColumn="0" w:noHBand="0" w:noVBand="1"/>
      </w:tblPr>
      <w:tblGrid>
        <w:gridCol w:w="9638"/>
      </w:tblGrid>
      <w:tr w:rsidR="00533532" w:rsidRPr="00B043CE" w14:paraId="2C77BD1D" w14:textId="77777777" w:rsidTr="002E3AB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6CCA6AFF" w14:textId="77777777" w:rsidR="00533532" w:rsidRPr="00B043CE" w:rsidRDefault="00E57B80">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d. — Não detectada substância controlada</w:t>
            </w:r>
          </w:p>
        </w:tc>
      </w:tr>
      <w:tr w:rsidR="00533532" w:rsidRPr="00B043CE" w14:paraId="0D048E0D" w14:textId="77777777" w:rsidTr="002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089EBA69" w14:textId="77777777" w:rsidR="00533532" w:rsidRPr="002E3AB8" w:rsidRDefault="004A4051" w:rsidP="001D12DE">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A análise realizada </w:t>
            </w:r>
            <w:r>
              <w:rPr>
                <w:rFonts w:ascii="Times New Roman" w:hAnsi="Times New Roman" w:cs="Times New Roman"/>
                <w:sz w:val="24"/>
                <w:szCs w:val="24"/>
              </w:rPr>
              <w:t>NÃO DETECTOU</w:t>
            </w:r>
            <w:r>
              <w:rPr>
                <w:rFonts w:ascii="Times New Roman" w:hAnsi="Times New Roman" w:cs="Times New Roman"/>
                <w:b w:val="0"/>
                <w:bCs w:val="0"/>
                <w:sz w:val="24"/>
                <w:szCs w:val="24"/>
              </w:rPr>
              <w:t xml:space="preserve"> a presença de substâncias entorpecentes ou psicotrópicas incluídas nas listas de controle especial da Portaria SVS/MS nº 344, de 12/05/1998, e atualizações posteriores (ANVISA), nos comprimidos examinados.</w:t>
            </w:r>
          </w:p>
          <w:p w14:paraId="4C61FC73" w14:textId="77777777" w:rsidR="00533532" w:rsidRDefault="00533532" w:rsidP="001D12DE">
            <w:pPr>
              <w:rPr>
                <w:rFonts w:ascii="Times New Roman" w:hAnsi="Times New Roman" w:cs="Times New Roman"/>
                <w:b w:val="0"/>
                <w:bCs w:val="0"/>
                <w:sz w:val="24"/>
                <w:szCs w:val="24"/>
              </w:rPr>
            </w:pPr>
          </w:p>
          <w:p w14:paraId="661EAB5B" w14:textId="77777777" w:rsidR="00533532" w:rsidRDefault="004A4051" w:rsidP="001D12DE">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O espectro de absorção infravermelha por FTIR-ATR é compatível com mistura de [COMPOSTO_1] ([FORMULA_1], PM [PM_1] g/mol, CAS [CAS_1]), [COMPOSTO_2] ([FORMULA_2], PM [PM_2] g/mol, CAS [CAS_2]) e [COMPOSTO_3] ([FORMULA_3], PM [PM_3] g/mol, CAS [CAS_3]), substâncias não incluídas em qualquer lista de controle especial vigente.</w:t>
            </w:r>
          </w:p>
          <w:p w14:paraId="41A0AB42" w14:textId="77777777" w:rsidR="00533532" w:rsidRDefault="00533532" w:rsidP="001D12DE">
            <w:pPr>
              <w:rPr>
                <w:rFonts w:ascii="Times New Roman" w:hAnsi="Times New Roman" w:cs="Times New Roman"/>
                <w:b w:val="0"/>
                <w:bCs w:val="0"/>
                <w:sz w:val="24"/>
                <w:szCs w:val="24"/>
              </w:rPr>
            </w:pPr>
          </w:p>
          <w:p w14:paraId="4BD6DDB7" w14:textId="77777777" w:rsidR="00533532" w:rsidRDefault="004A4051" w:rsidP="001D12DE">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Ressalva-se, contudo, que o método FTIR-ATR opera por comparação espectral de componentes majoritários, não sendo capaz de identificar substâncias presentes em concentrações abaixo do limiar analítico da técnica. Assim, o resultado negativo não exclui a possibilidade de presença de substâncias controladas em concentrações traço inferiores à sensibilidade do método.</w:t>
            </w:r>
          </w:p>
        </w:tc>
      </w:tr>
    </w:tbl>
    <w:p w14:paraId="02CA30AA" w14:textId="77777777" w:rsidR="00533532" w:rsidRPr="00B043CE" w:rsidRDefault="00533532">
      <w:pPr>
        <w:rPr>
          <w:rFonts w:ascii="Times New Roman" w:hAnsi="Times New Roman" w:cs="Times New Roman"/>
          <w:sz w:val="24"/>
          <w:szCs w:val="24"/>
        </w:rPr>
      </w:pPr>
    </w:p>
    <w:bookmarkEnd w:id="1"/>
    <w:p w14:paraId="21B9961E" w14:textId="77777777" w:rsidR="00876B22" w:rsidRPr="00B043CE" w:rsidRDefault="00876B22" w:rsidP="00876B22">
      <w:pPr>
        <w:rPr>
          <w:sz w:val="24"/>
          <w:szCs w:val="24"/>
        </w:rPr>
      </w:pPr>
    </w:p>
    <w:p w14:paraId="67C0C4C1" w14:textId="7777777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6949185F"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1703EFB1"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438E2C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0561E111"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3DB66FC9"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D0F1AB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1780A7EA"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[DEMANDA]</w:t>
            </w:r>
          </w:p>
        </w:tc>
      </w:tr>
      <w:tr w:rsidR="00533532" w:rsidRPr="00C371C9" w14:paraId="523B89D5"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1AEB393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CFE48C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14F7ABFA"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123946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5D01466D" w14:textId="77777777" w:rsidR="00533532" w:rsidRPr="004126CB" w:rsidRDefault="004126CB"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Ofício/TCO nº [DOCUMENTO]</w:t>
            </w:r>
          </w:p>
        </w:tc>
      </w:tr>
      <w:tr w:rsidR="00533532" w:rsidRPr="00C371C9" w14:paraId="35279633"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7C8D4A4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53671899"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3C22565A" w14:textId="77777777" w:rsidTr="00CE274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4AB9FC9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5C1C136E" w14:textId="77777777" w:rsidR="00533532" w:rsidRPr="004126CB" w:rsidRDefault="004126CB"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POLÍCIA RODOVIÁRIA FEDERAL – DELEGACIA EM PARNAÍBA-DEL05-PI</w:t>
            </w:r>
          </w:p>
        </w:tc>
      </w:tr>
      <w:tr w:rsidR="00533532" w:rsidRPr="00C371C9" w14:paraId="5FF668BF"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0C578A0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1557AF8D"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TCO [BO]</w:t>
            </w:r>
          </w:p>
        </w:tc>
      </w:tr>
      <w:tr w:rsidR="00533532" w:rsidRPr="00C371C9" w14:paraId="41B67CEF"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B1D4DE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7E41E9E2"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[ENVOLVIDO] — CPF [CPF]</w:t>
            </w:r>
          </w:p>
        </w:tc>
      </w:tr>
      <w:tr w:rsidR="00533532" w:rsidRPr="00C371C9" w14:paraId="5AD2EEAB"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10E3C42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0CE8D228" w14:textId="77777777" w:rsidR="00533532" w:rsidRPr="004126CB" w:rsidRDefault="004126CB"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POLÍCIA RODOVIÁRIA FEDERAL – DELEGACIA EM PARNAÍBA-DEL05-PI</w:t>
            </w:r>
          </w:p>
        </w:tc>
      </w:tr>
    </w:tbl>
    <w:p w14:paraId="691B016B" w14:textId="77777777" w:rsidR="00533532" w:rsidRPr="00C371C9" w:rsidRDefault="00533532" w:rsidP="00C371C9">
      <w:pPr>
        <w:rPr>
          <w:rFonts w:ascii="Times New Roman" w:hAnsi="Times New Roman" w:cs="Times New Roman"/>
        </w:rPr>
      </w:pPr>
    </w:p>
    <w:p w14:paraId="4C1243E8"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58023595"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C3F38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3F631AA6"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7EC379DE"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7CE88D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7963A525" w14:textId="77777777" w:rsidR="00533532" w:rsidRPr="00CE2748"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63E6AEF8"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2C273C8D"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Documento de tramitação</w:t>
            </w:r>
          </w:p>
        </w:tc>
        <w:tc>
          <w:tcPr>
            <w:tcW w:w="6438" w:type="dxa"/>
          </w:tcPr>
          <w:p w14:paraId="784AAD49"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Ofício nº. [DOCUMENTO]</w:t>
            </w:r>
          </w:p>
        </w:tc>
      </w:tr>
      <w:tr w:rsidR="00533532" w:rsidRPr="00C371C9" w14:paraId="49E3AF9B"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3D35E3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7ED198E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058303E1"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3ED4B77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018FD24A"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1D9CA2F4"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387B8D"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7E880A9"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20EF186B"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1D24223D"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E424F76"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02463EA3"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F887D5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023D3C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1500AE77"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5BDDA1A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609025A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045DA9EC"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631D34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508473DC" w14:textId="77777777" w:rsidR="00533532" w:rsidRPr="00C371C9" w:rsidRDefault="009A2667"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184C84E6" w14:textId="77777777" w:rsidR="00533532" w:rsidRPr="00C371C9" w:rsidRDefault="00533532" w:rsidP="00C371C9">
      <w:pPr>
        <w:rPr>
          <w:rFonts w:ascii="Times New Roman" w:hAnsi="Times New Roman" w:cs="Times New Roman"/>
        </w:rPr>
      </w:pPr>
    </w:p>
    <w:p w14:paraId="4A932DF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3F356F1B"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B564DD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08F52267"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29B0EED7"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FF446A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Material apreendido</w:t>
            </w:r>
          </w:p>
        </w:tc>
        <w:tc>
          <w:tcPr>
            <w:tcW w:w="6808" w:type="dxa"/>
          </w:tcPr>
          <w:p w14:paraId="594791CB"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Comprimidos (item d.)</w:t>
            </w:r>
          </w:p>
        </w:tc>
      </w:tr>
      <w:tr w:rsidR="00533532" w:rsidRPr="00C371C9" w14:paraId="38E17E64" w14:textId="77777777" w:rsidTr="00CE2748">
        <w:tc>
          <w:tcPr>
            <w:cnfStyle w:val="001000000000" w:firstRow="0" w:lastRow="0" w:firstColumn="1" w:lastColumn="0" w:oddVBand="0" w:evenVBand="0" w:oddHBand="0" w:evenHBand="0" w:firstRowFirstColumn="0" w:firstRowLastColumn="0" w:lastRowFirstColumn="0" w:lastRowLastColumn="0"/>
            <w:tcW w:w="2830" w:type="dxa"/>
          </w:tcPr>
          <w:p w14:paraId="03C77C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1705141E" w14:textId="77777777" w:rsidR="00533532" w:rsidRPr="00C371C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FTIR-ATR (Cat. A/SWGDRUG)</w:t>
            </w:r>
          </w:p>
        </w:tc>
      </w:tr>
      <w:tr w:rsidR="00533532" w:rsidRPr="00C371C9" w14:paraId="0915112D"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DBAA4B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Natureza química — item d.</w:t>
            </w:r>
          </w:p>
        </w:tc>
        <w:tc>
          <w:tcPr>
            <w:tcW w:w="6808" w:type="dxa"/>
          </w:tcPr>
          <w:p w14:paraId="3C4DA08D" w14:textId="77777777" w:rsidR="00533532" w:rsidRPr="00C371C9"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[COMPOSTO_1] + [COMPOSTO_2] + [COMPOSTO_3] — </w:t>
            </w:r>
            <w:r>
              <w:rPr>
                <w:rFonts w:ascii="Times New Roman" w:hAnsi="Times New Roman" w:cs="Times New Roman"/>
                <w:b/>
                <w:sz w:val="20"/>
                <w:szCs w:val="20"/>
              </w:rPr>
              <w:t>NÃO CONTROLADAS (Portaria 344/1998)</w:t>
            </w:r>
          </w:p>
        </w:tc>
      </w:tr>
      <w:tr w:rsidR="008E12E4" w:rsidRPr="00C371C9" w14:paraId="5B91E825" w14:textId="77777777" w:rsidTr="00CE2748">
        <w:tc>
          <w:tcPr>
            <w:cnfStyle w:val="001000000000" w:firstRow="0" w:lastRow="0" w:firstColumn="1" w:lastColumn="0" w:oddVBand="0" w:evenVBand="0" w:oddHBand="0" w:evenHBand="0" w:firstRowFirstColumn="0" w:firstRowLastColumn="0" w:lastRowFirstColumn="0" w:lastRowLastColumn="0"/>
            <w:tcW w:w="2830" w:type="dxa"/>
          </w:tcPr>
          <w:p w14:paraId="0840978F" w14:textId="77777777" w:rsidR="008E12E4" w:rsidRPr="00C371C9" w:rsidRDefault="008E12E4" w:rsidP="00C371C9">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310302DF" w14:textId="77777777" w:rsidR="008E12E4" w:rsidRPr="00C371C9" w:rsidRDefault="008E12E4"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0783CA0F" w14:textId="77777777" w:rsidR="00533532" w:rsidRPr="00C371C9" w:rsidRDefault="00533532" w:rsidP="00C371C9">
      <w:pPr>
        <w:rPr>
          <w:rFonts w:ascii="Times New Roman" w:hAnsi="Times New Roman" w:cs="Times New Roman"/>
        </w:rPr>
      </w:pPr>
    </w:p>
    <w:p w14:paraId="65EB432A" w14:textId="77777777"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0D7C986C"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7FF02BDD"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3BCFCC2D"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2DD89CCF"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14:paraId="6A048F7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4C0068AD"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46BC814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Polícia Civil do Estado do Piauí. Portaria nº 56-GDG/AN/2021, de 16 de setembro de 2021. Regulamenta, no âmbito da Polícia Civil do Estado do Piauí, o procedimento para a apreensão, movimentação, perícias, acondicionamento, guarda e destruição de drogas, insumos e objetos relacionados. Teresina: PC-PI, 2021. SEI nº 2393293. Processo nº 00019.016957/2021-10.</w:t>
      </w:r>
    </w:p>
    <w:p w14:paraId="48B83EC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Secretaria de Segurança Pública. Instrução Normativa nº 04/2025/SSP/PI, de 22 de novembro de 2025. Dispõe sobre a integração dos sistemas do Departamento de Polícia Científica e sobre os procedimentos relativos à cadeia de custódia de vestígios no âmbito da Secretaria de Segurança Pública do Estado do Piauí. Diário Oficial do Estado do Piauí, Teresina, n. 229, 28 nov. 2025.</w:t>
      </w:r>
    </w:p>
    <w:p w14:paraId="5F4C7A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140970BF"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4937055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5ED485B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1A199BCA"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37A489B"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6540534C" w14:textId="77777777"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6FC88783" w14:textId="77777777" w:rsidR="00533532" w:rsidRPr="00C371C9" w:rsidRDefault="00533532" w:rsidP="00C371C9">
      <w:pPr>
        <w:jc w:val="both"/>
        <w:rPr>
          <w:rFonts w:ascii="Times New Roman" w:hAnsi="Times New Roman" w:cs="Times New Roman"/>
          <w:sz w:val="24"/>
          <w:szCs w:val="24"/>
        </w:rPr>
      </w:pPr>
    </w:p>
    <w:p w14:paraId="7B03A4EC"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55DAE725"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49E2688F"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0DD201EE"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sectPr w:rsidR="00533532" w:rsidRPr="004F5D08" w:rsidSect="00F07CCF">
      <w:headerReference w:type="default" r:id="rId10"/>
      <w:headerReference w:type="first" r:id="rId11"/>
      <w:footerReference w:type="first" r:id="rId12"/>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8F0FC" w14:textId="77777777" w:rsidR="00024ECE" w:rsidRDefault="00024ECE">
      <w:r>
        <w:separator/>
      </w:r>
    </w:p>
  </w:endnote>
  <w:endnote w:type="continuationSeparator" w:id="0">
    <w:p w14:paraId="7B733DA9" w14:textId="77777777" w:rsidR="00024ECE" w:rsidRDefault="00024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CCF54" w14:textId="77777777" w:rsidR="008E04B3" w:rsidRDefault="008E04B3">
    <w:pPr>
      <w:pStyle w:val="Rodap"/>
    </w:pPr>
    <w:r>
      <w:rPr>
        <w:noProof/>
      </w:rPr>
      <w:drawing>
        <wp:anchor distT="0" distB="0" distL="114300" distR="114300" simplePos="0" relativeHeight="251664384" behindDoc="0" locked="0" layoutInCell="1" allowOverlap="1" wp14:anchorId="00BD9F57" wp14:editId="05966B08">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69105" w14:textId="77777777" w:rsidR="00024ECE" w:rsidRDefault="00024ECE">
      <w:r>
        <w:separator/>
      </w:r>
    </w:p>
  </w:footnote>
  <w:footnote w:type="continuationSeparator" w:id="0">
    <w:p w14:paraId="374D7D72" w14:textId="77777777" w:rsidR="00024ECE" w:rsidRDefault="00024ECE">
      <w:r>
        <w:continuationSeparator/>
      </w:r>
    </w:p>
  </w:footnote>
  <w:footnote w:id="1">
    <w:p w14:paraId="7694BBA4" w14:textId="77777777"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em técnica de Categoria A (SWGDRUG Rev. 8.1, 2022). O FTIR-ATR (Cat. A) satisfaz isoladamente o requisito de técnica confirmatória primária com poder discriminatório máximo, conferindo ao laudo o mais alto nível de certeza analítica previsto na literatura forense especializada. Para o material examinado, a identificação por FTIR-ATR — Categoria A — é suficiente para identificação definitiva na ausência de ensaios colorimétricos de triagem específicos, em conformidade com SWGDRUG Rev. 8.1 (2022) e POP SENASP/MJ nº 9.09 (2024).</w:t>
      </w:r>
    </w:p>
  </w:footnote>
  <w:footnote w:id="2">
    <w:p w14:paraId="42EF6E95" w14:textId="77777777"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3">
    <w:p w14:paraId="76722936" w14:textId="77777777" w:rsidR="00A05F41" w:rsidRPr="00C223E1" w:rsidRDefault="00A05F41" w:rsidP="00291605">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0185F" w14:textId="77777777"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6A23CE5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471F1A8F" w14:textId="77777777" w:rsidTr="008E04B3">
      <w:tc>
        <w:tcPr>
          <w:tcW w:w="1110" w:type="dxa"/>
          <w:vAlign w:val="center"/>
          <w:hideMark/>
        </w:tcPr>
        <w:p w14:paraId="52700389"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2B6462FA" wp14:editId="4535DB4D">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2E44936F"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3E2AE194" wp14:editId="0E1CC4FC">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17D8DC0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757E8036"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11099F3E"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392EB84F" w14:textId="77777777" w:rsidR="008E04B3" w:rsidRPr="008F170F" w:rsidRDefault="00024ECE"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50617DAC" w14:textId="77777777" w:rsidR="008E04B3" w:rsidRPr="008F170F" w:rsidRDefault="008E04B3" w:rsidP="00572A17">
          <w:pPr>
            <w:pStyle w:val="Contedodatabela"/>
            <w:ind w:left="-79"/>
            <w:rPr>
              <w:rFonts w:cs="Times New Roman"/>
            </w:rPr>
          </w:pPr>
        </w:p>
      </w:tc>
    </w:tr>
  </w:tbl>
  <w:p w14:paraId="0F4AA915" w14:textId="77777777" w:rsidR="008E04B3" w:rsidRDefault="008E04B3" w:rsidP="00572A17">
    <w:pPr>
      <w:pStyle w:val="Cabealho"/>
      <w:pBdr>
        <w:bottom w:val="single" w:sz="12" w:space="1" w:color="auto"/>
      </w:pBdr>
    </w:pPr>
  </w:p>
  <w:p w14:paraId="3E4548E5"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24ECE"/>
    <w:rsid w:val="000465E9"/>
    <w:rsid w:val="00046E70"/>
    <w:rsid w:val="00082568"/>
    <w:rsid w:val="000C2AA8"/>
    <w:rsid w:val="000F7D23"/>
    <w:rsid w:val="00170E58"/>
    <w:rsid w:val="001C73AF"/>
    <w:rsid w:val="001D12DE"/>
    <w:rsid w:val="002067E9"/>
    <w:rsid w:val="002307C0"/>
    <w:rsid w:val="00234E3F"/>
    <w:rsid w:val="00256A8B"/>
    <w:rsid w:val="00265B1A"/>
    <w:rsid w:val="00273609"/>
    <w:rsid w:val="00291605"/>
    <w:rsid w:val="00296B30"/>
    <w:rsid w:val="002E3AB8"/>
    <w:rsid w:val="00310CED"/>
    <w:rsid w:val="00314F35"/>
    <w:rsid w:val="003510F6"/>
    <w:rsid w:val="003974C7"/>
    <w:rsid w:val="003C180D"/>
    <w:rsid w:val="003C1AB1"/>
    <w:rsid w:val="003D599E"/>
    <w:rsid w:val="003E3F4C"/>
    <w:rsid w:val="004126CB"/>
    <w:rsid w:val="00421636"/>
    <w:rsid w:val="004622F5"/>
    <w:rsid w:val="0049780B"/>
    <w:rsid w:val="004A4051"/>
    <w:rsid w:val="004F5D08"/>
    <w:rsid w:val="00533532"/>
    <w:rsid w:val="00572A17"/>
    <w:rsid w:val="005744BD"/>
    <w:rsid w:val="00584034"/>
    <w:rsid w:val="005961D0"/>
    <w:rsid w:val="005E725B"/>
    <w:rsid w:val="0068091C"/>
    <w:rsid w:val="006F7F4D"/>
    <w:rsid w:val="007027B5"/>
    <w:rsid w:val="00770F5F"/>
    <w:rsid w:val="00772C5B"/>
    <w:rsid w:val="007A5982"/>
    <w:rsid w:val="007A6772"/>
    <w:rsid w:val="007B71B0"/>
    <w:rsid w:val="007D4CBD"/>
    <w:rsid w:val="00854A9C"/>
    <w:rsid w:val="00876222"/>
    <w:rsid w:val="00876B22"/>
    <w:rsid w:val="008E04B3"/>
    <w:rsid w:val="008E12E4"/>
    <w:rsid w:val="00900151"/>
    <w:rsid w:val="00922E5D"/>
    <w:rsid w:val="00956B3E"/>
    <w:rsid w:val="00966958"/>
    <w:rsid w:val="009A2667"/>
    <w:rsid w:val="009F19ED"/>
    <w:rsid w:val="00A05F41"/>
    <w:rsid w:val="00AE7993"/>
    <w:rsid w:val="00B043CE"/>
    <w:rsid w:val="00B63C3B"/>
    <w:rsid w:val="00B674A3"/>
    <w:rsid w:val="00B75828"/>
    <w:rsid w:val="00B777C4"/>
    <w:rsid w:val="00BF5F05"/>
    <w:rsid w:val="00C223E1"/>
    <w:rsid w:val="00C238E6"/>
    <w:rsid w:val="00C371C9"/>
    <w:rsid w:val="00C41329"/>
    <w:rsid w:val="00C9128B"/>
    <w:rsid w:val="00CC7810"/>
    <w:rsid w:val="00CE1DD4"/>
    <w:rsid w:val="00CE2748"/>
    <w:rsid w:val="00CE519A"/>
    <w:rsid w:val="00D10E0A"/>
    <w:rsid w:val="00D75474"/>
    <w:rsid w:val="00DB2058"/>
    <w:rsid w:val="00E57B80"/>
    <w:rsid w:val="00E61541"/>
    <w:rsid w:val="00E6228B"/>
    <w:rsid w:val="00E74FC0"/>
    <w:rsid w:val="00EB22AF"/>
    <w:rsid w:val="00EF72B4"/>
    <w:rsid w:val="00F07CCF"/>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C79DA2"/>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2146</Words>
  <Characters>11593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7</cp:revision>
  <dcterms:created xsi:type="dcterms:W3CDTF">2026-06-05T15:16:00Z</dcterms:created>
  <dcterms:modified xsi:type="dcterms:W3CDTF">2026-06-28T10:30:00Z</dcterms:modified>
</cp:coreProperties>
</file>