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[TOTAL]</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5A96378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Foi submetido a exame preliminar no núcleo pericial pelo Perito Criminal plantonista, referente à Demanda nº. </w:t>
      </w:r>
      <w:r>
        <w:rPr>
          <w:rFonts w:ascii="Times New Roman" w:hAnsi="Times New Roman" w:cs="Times New Roman"/>
          <w:b/>
          <w:bCs/>
          <w:sz w:val="24"/>
          <w:szCs w:val="24"/>
        </w:rPr>
        <w:t>[DEMANDA_PRELIM]</w:t>
      </w:r>
      <w:r>
        <w:rPr>
          <w:rFonts w:ascii="Times New Roman" w:hAnsi="Times New Roman" w:cs="Times New Roman"/>
          <w:sz w:val="24"/>
          <w:szCs w:val="24"/>
        </w:rPr>
        <w:t xml:space="preserve">. Nessa etapa, o material foi transferido para o Envelope de Vestígios/Lacre nº. </w:t>
      </w:r>
      <w:r>
        <w:rPr>
          <w:rFonts w:ascii="Times New Roman" w:hAnsi="Times New Roman" w:cs="Times New Roman"/>
          <w:b/>
          <w:bCs/>
          <w:sz w:val="24"/>
          <w:szCs w:val="24"/>
        </w:rPr>
        <w:t>[ENV_POS_PRELIM]</w:t>
      </w:r>
      <w:r>
        <w:rPr>
          <w:rFonts w:ascii="Times New Roman" w:hAnsi="Times New Roman" w:cs="Times New Roman"/>
          <w:sz w:val="24"/>
          <w:szCs w:val="24"/>
        </w:rPr>
        <w:t xml:space="preserve"> e encaminhado ao Setor de Química Forense para análise definitiva, em observância à cadeia de custódia da prova prevista nos arts.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8F6164" w:rsidRPr="00B674A3" w14:paraId="5BB8507A"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[MASSA_CC_BRUTA]</w:t>
            </w:r>
            <w:r>
              <w:rPr>
                <w:rFonts w:ascii="Times New Roman" w:hAnsi="Times New Roman" w:cs="Times New Roman"/>
                <w:sz w:val="20"/>
                <w:szCs w:val="20"/>
              </w:rPr>
              <w:t xml:space="preserve"> g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26B40770" w14:textId="119424A1"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[QTD_CC]</w:t>
            </w:r>
          </w:p>
        </w:tc>
        <w:tc>
          <w:tcPr>
            <w:tcW w:w="2086" w:type="dxa"/>
          </w:tcPr>
          <w:p w14:paraId="638E2B0D" w14:textId="7B4DDCCC"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[ACOND_CC]</w:t>
            </w:r>
          </w:p>
        </w:tc>
        <w:tc>
          <w:tcPr>
            <w:tcW w:w="3119" w:type="dxa"/>
          </w:tcPr>
          <w:p w14:paraId="601689FB" w14:textId="751C73AB"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[ASPECTOS_CC]</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Pr>
          <w:rFonts w:ascii="Times New Roman" w:hAnsi="Times New Roman" w:cs="Times New Roman"/>
          <w:i/>
          <w:iCs/>
          <w:noProof/>
        </w:rPr>
        <w:drawing>
          <wp:inline distT="0" distB="0" distL="0" distR="0" wp14:anchorId="5F853967" wp14:editId="132153D3">
            <wp:extent cx="5703891" cy="3469217"/>
            <wp:effectExtent l="19050" t="19050" r="11430" b="1714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713079" cy="3474805"/>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permaneceu custodiado neste laboratório até a conclusão deste laudo, momento em que foi reacondicionado em Envelope de Vestígios/Lacre nº.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7DE394A1"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Ressalta-se que do referido material foram retiradas frações representativas de cada item — analisadas individualmente. Das frações examinadas foram ainda separadas amostras para constituição de contraprova, mantidas sob custódia nesta unidade pericial, acondicionadas sob nº.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1EC9DE66"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Co(SCN)₂ (solução 1% aquosa); HCl (10%); CHCl₃ (p.a.).</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[Co(SCN)₂·alcaloide];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HCl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67835EA9" w14:textId="0A700A2D"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2.4.   Espectroscopia no Infravermelho por Transformada de Fourier (FTIR-ATR)</w:t>
      </w:r>
    </w:p>
    <w:p w14:paraId="6C82E5E6" w14:textId="77777777"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77777777" w:rsidR="004C4BDD" w:rsidRPr="007B71B0" w:rsidRDefault="004C4BDD" w:rsidP="004C4BDD">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Espectrômetro </w:t>
      </w:r>
      <w:r>
        <w:rPr>
          <w:rStyle w:val="Forte"/>
          <w:rFonts w:ascii="Times New Roman" w:hAnsi="Times New Roman" w:cs="Times New Roman"/>
          <w:b w:val="0"/>
          <w:bCs w:val="0"/>
          <w:i/>
          <w:iCs/>
          <w:sz w:val="24"/>
          <w:szCs w:val="24"/>
        </w:rPr>
        <w:t>Bruker Alpha II</w:t>
      </w:r>
      <w:r>
        <w:rPr>
          <w:rFonts w:ascii="Times New Roman" w:hAnsi="Times New Roman" w:cs="Times New Roman"/>
          <w:sz w:val="24"/>
          <w:szCs w:val="24"/>
        </w:rPr>
        <w:t>, equipado com acessório de Reflectância Total Atenuada (ATR) com cristal de diamante, operando na região espectral de 4000 a 650 cm⁻¹, com 16 varreduras (</w:t>
      </w:r>
      <w:r>
        <w:rPr>
          <w:rStyle w:val="nfase"/>
          <w:rFonts w:ascii="Times New Roman" w:hAnsi="Times New Roman" w:cs="Times New Roman"/>
          <w:sz w:val="24"/>
          <w:szCs w:val="24"/>
        </w:rPr>
        <w:t>scans</w:t>
      </w:r>
      <w:r>
        <w:rPr>
          <w:rFonts w:ascii="Times New Roman" w:hAnsi="Times New Roman" w:cs="Times New Roman"/>
          <w:sz w:val="24"/>
          <w:szCs w:val="24"/>
        </w:rPr>
        <w:t xml:space="preserve">) e resolução de 4 cm⁻¹. O processamento e a identificação espectral foram realizados pelo software </w:t>
      </w:r>
      <w:r>
        <w:rPr>
          <w:rStyle w:val="nfase"/>
          <w:rFonts w:ascii="Times New Roman" w:hAnsi="Times New Roman" w:cs="Times New Roman"/>
          <w:sz w:val="24"/>
          <w:szCs w:val="24"/>
        </w:rPr>
        <w:t>OPUS DrugID Wizard</w:t>
      </w:r>
      <w:r>
        <w:rPr>
          <w:rFonts w:ascii="Times New Roman" w:hAnsi="Times New Roman" w:cs="Times New Roman"/>
          <w:sz w:val="24"/>
          <w:szCs w:val="24"/>
        </w:rPr>
        <w:t xml:space="preserve"> (Bruker Optik GmbH).</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OPUS DrugID Wizard</w:t>
      </w:r>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 (tolerância ±4 cm⁻¹).</w:t>
      </w:r>
      <w:r>
        <w:rPr>
          <w:rStyle w:val="Refdenotaderodap"/>
          <w:rFonts w:ascii="Times New Roman" w:hAnsi="Times New Roman" w:cs="Times New Roman"/>
          <w:sz w:val="24"/>
          <w:szCs w:val="24"/>
        </w:rPr>
        <w:footnoteReference w:id="3"/>
      </w:r>
    </w:p>
    <w:p w14:paraId="2B967F7D" w14:textId="46655709"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sz w:val="20"/>
                <w:szCs w:val="20"/>
              </w:rPr>
              <w:t xml:space="preserve"> </w:t>
            </w:r>
            <w:r>
              <w:rPr>
                <w:rFonts w:ascii="Times New Roman" w:hAnsi="Times New Roman" w:cs="Times New Roman"/>
                <w:i/>
                <w:iCs/>
                <w:sz w:val="20"/>
                <w:szCs w:val="20"/>
              </w:rPr>
              <w:t>Formação de precipitado azul [Co(SCN)₂·cocaína]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Desaparecimento da coloração com HCl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Reaparecimento da coloração azul na fase orgânica (CHCl₃)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A063B7" w:rsidRPr="002E3AB8" w14:paraId="6482754F"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p>
        </w:tc>
        <w:tc>
          <w:tcPr>
            <w:tcW w:w="2147" w:type="dxa"/>
          </w:tcPr>
          <w:p w14:paraId="316C89A1" w14:textId="5C186124"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0"/>
                <w:szCs w:val="20"/>
              </w:rPr>
            </w:pPr>
            <w:r>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PRESUNTIVO POSITIVO para alcaloide tropânico</w:t>
            </w:r>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34BB3646" w14:textId="31BE69F3"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3.2.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OPUS DrugID Wizard.</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r>
        <w:rPr>
          <w:rFonts w:ascii="Times New Roman" w:hAnsi="Times New Roman" w:cs="Times New Roman"/>
          <w:sz w:val="24"/>
          <w:szCs w:val="24"/>
        </w:rPr>
        <w:t xml:space="preserve">benzoilmetilecgonina·HCl, nome IUPAC: </w:t>
      </w:r>
      <w:r>
        <w:rPr>
          <w:rFonts w:ascii="Times New Roman" w:hAnsi="Times New Roman" w:cs="Times New Roman"/>
          <w:i/>
          <w:iCs/>
          <w:sz w:val="24"/>
          <w:szCs w:val="24"/>
        </w:rPr>
        <w:t>metil (1R,2R,3S,5S)-3-(benzoiloxi)-8-metil-8-azabiciclo[3.2.1]octano-2-carboxilato cloridrato</w:t>
      </w:r>
      <w:r>
        <w:rPr>
          <w:rFonts w:ascii="Times New Roman" w:hAnsi="Times New Roman" w:cs="Times New Roman"/>
          <w:sz w:val="24"/>
          <w:szCs w:val="24"/>
        </w:rPr>
        <w:t>. Fórmula molecular: C₁₇H₂₁NO₄·HCl. Peso molecular: 339,8 g/mol.</w:t>
      </w: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protonada</w:t>
            </w:r>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 benzóico</w:t>
            </w:r>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benzóico</w:t>
            </w:r>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Fonts w:ascii="Times New Roman" w:hAnsi="Times New Roman" w:cs="Times New Roman"/>
          <w:i/>
          <w:iCs/>
          <w:sz w:val="20"/>
          <w:szCs w:val="20"/>
        </w:rPr>
        <w:t>Tabela 4.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da </w:t>
      </w:r>
      <w:r>
        <w:rPr>
          <w:rFonts w:ascii="Times New Roman" w:hAnsi="Times New Roman" w:cs="Times New Roman"/>
          <w:b/>
          <w:bCs/>
          <w:i/>
          <w:iCs/>
          <w:sz w:val="20"/>
          <w:szCs w:val="20"/>
        </w:rPr>
        <w:t>Cocaína.HCl</w:t>
      </w:r>
    </w:p>
    <w:p w14:paraId="534242DE" w14:textId="77777777" w:rsidR="00397A29" w:rsidRPr="004622F5" w:rsidRDefault="00397A29" w:rsidP="00397A29">
      <w:pPr>
        <w:jc w:val="center"/>
        <w:rPr>
          <w:rFonts w:ascii="Times New Roman" w:hAnsi="Times New Roman" w:cs="Times New Roman"/>
          <w:sz w:val="24"/>
          <w:szCs w:val="24"/>
        </w:rPr>
      </w:pPr>
    </w:p>
    <w:p w14:paraId="619EF4AD" w14:textId="77777777" w:rsidR="00A05F41" w:rsidRPr="00B043CE" w:rsidRDefault="00A05F41" w:rsidP="00A05F41">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4"/>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A análise realizada </w:t>
            </w:r>
            <w:r>
              <w:rPr>
                <w:rFonts w:ascii="Times New Roman" w:hAnsi="Times New Roman" w:cs="Times New Roman"/>
                <w:sz w:val="24"/>
                <w:szCs w:val="24"/>
              </w:rPr>
              <w:t>DETECTOU</w:t>
            </w:r>
            <w:r>
              <w:rPr>
                <w:rFonts w:ascii="Times New Roman" w:hAnsi="Times New Roman" w:cs="Times New Roman"/>
                <w:b w:val="0"/>
                <w:bCs w:val="0"/>
                <w:sz w:val="24"/>
                <w:szCs w:val="24"/>
              </w:rPr>
              <w:t xml:space="preserve"> a presença de </w:t>
            </w:r>
            <w:r>
              <w:rPr>
                <w:rFonts w:ascii="Times New Roman" w:hAnsi="Times New Roman" w:cs="Times New Roman"/>
                <w:sz w:val="24"/>
                <w:szCs w:val="24"/>
              </w:rPr>
              <w:t>Cloridrato De Cocaína</w:t>
            </w:r>
            <w:r>
              <w:rPr>
                <w:rFonts w:ascii="Times New Roman" w:hAnsi="Times New Roman" w:cs="Times New Roman"/>
                <w:b w:val="0"/>
                <w:bCs w:val="0"/>
                <w:sz w:val="24"/>
                <w:szCs w:val="24"/>
              </w:rPr>
              <w:t xml:space="preserve"> — Benzoilmetilecgonina·HCl (C₁₇H₂₁NO₄·HCl,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O </w:t>
            </w:r>
            <w:r>
              <w:rPr>
                <w:rFonts w:ascii="Times New Roman" w:hAnsi="Times New Roman" w:cs="Times New Roman"/>
                <w:sz w:val="24"/>
                <w:szCs w:val="24"/>
              </w:rPr>
              <w:t>cloridrato de cocaína</w:t>
            </w:r>
            <w:r>
              <w:rPr>
                <w:rFonts w:ascii="Times New Roman" w:hAnsi="Times New Roman" w:cs="Times New Roman"/>
                <w:b w:val="0"/>
                <w:bCs w:val="0"/>
                <w:sz w:val="24"/>
                <w:szCs w:val="24"/>
              </w:rPr>
              <w:t xml:space="preserve"> é substância de ação entorpecente/psicotrópica, apta a produzir dependência física e/ou psíquica, relacionada na </w:t>
            </w:r>
            <w:r>
              <w:rPr>
                <w:rFonts w:ascii="Times New Roman" w:hAnsi="Times New Roman" w:cs="Times New Roman"/>
                <w:sz w:val="24"/>
                <w:szCs w:val="24"/>
              </w:rPr>
              <w:t>Lista F1</w:t>
            </w:r>
            <w:r>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3D423A66" w14:textId="77777777" w:rsidR="00397A29" w:rsidRPr="00B043CE" w:rsidRDefault="00397A29" w:rsidP="00397A29">
      <w:pPr>
        <w:rPr>
          <w:rFonts w:ascii="Times New Roman" w:hAnsi="Times New Roman" w:cs="Times New Roman"/>
          <w:sz w:val="24"/>
          <w:szCs w:val="24"/>
        </w:rPr>
      </w:pPr>
      <w:bookmarkStart w:id="1" w:name="_Hlk231540727"/>
    </w:p>
    <w:bookmarkEnd w:id="1"/>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[DESTINO]</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132BE8DA" w:rsidR="00533532" w:rsidRPr="00A01AC6" w:rsidRDefault="00A01AC6"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branco (item b.)</w:t>
            </w:r>
          </w:p>
        </w:tc>
      </w:tr>
      <w:tr w:rsidR="00A01AC6" w:rsidRPr="000C3687"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16909F08" w:rsidR="00A01AC6" w:rsidRPr="000C3687"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Pr>
                <w:rFonts w:ascii="Times New Roman" w:hAnsi="Times New Roman" w:cs="Times New Roman"/>
                <w:sz w:val="20"/>
                <w:szCs w:val="20"/>
                <w:lang w:val="en-US"/>
              </w:rPr>
              <w:t>Scott Modificado (Cat. C/SWGDRUG) + FTIR-ATR (Cat. A/SWGDRUG)</w:t>
            </w:r>
          </w:p>
        </w:tc>
      </w:tr>
      <w:tr w:rsidR="00A01AC6" w:rsidRPr="00C371C9" w14:paraId="66EC127A"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086006A8" w14:textId="1E82AC35" w:rsidR="00A01AC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5491899D"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r>
        <w:rPr>
          <w:rFonts w:ascii="Times New Roman" w:hAnsi="Times New Roman" w:cs="Times New Roman"/>
          <w:sz w:val="16"/>
          <w:szCs w:val="16"/>
        </w:rPr>
        <w:t>Recommendations. Rev. 8.1. [S.l.]: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Boca Raton: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(Cap. 20 — Aminas.)</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4420D4E3"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Pr>
          <w:rFonts w:ascii="Times New Roman" w:hAnsi="Times New Roman" w:cs="Times New Roman"/>
          <w:b/>
          <w:bCs/>
          <w:sz w:val="24"/>
          <w:szCs w:val="24"/>
        </w:rPr>
        <w:t>10</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2"/>
      <w:headerReference w:type="first" r:id="rId13"/>
      <w:footerReference w:type="first" r:id="rId14"/>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A707D9" w14:textId="77777777" w:rsidR="00D50476" w:rsidRDefault="00D50476">
      <w:r>
        <w:separator/>
      </w:r>
    </w:p>
  </w:endnote>
  <w:endnote w:type="continuationSeparator" w:id="0">
    <w:p w14:paraId="5B666BD3" w14:textId="77777777" w:rsidR="00D50476" w:rsidRDefault="00D504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FE075C" w14:textId="77777777" w:rsidR="00D50476" w:rsidRDefault="00D50476">
      <w:r>
        <w:separator/>
      </w:r>
    </w:p>
  </w:footnote>
  <w:footnote w:type="continuationSeparator" w:id="0">
    <w:p w14:paraId="42865E2B" w14:textId="77777777" w:rsidR="00D50476" w:rsidRDefault="00D50476">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INTERFERÊNCIA POR ADULTERANTES — TESTE DE SCOTT: O ensaio de Scott pode apresentar resultado presuntivo positivo na presença de adulterantes anestésicos locais (lidocaína, procaína, benzocaína)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imídico ~1700/1660 cm⁻¹), afastando qualquer hipótese de falso-positivo colorimétrico. Ref.: Conceição, V.N. et al. Química Nova, v. 37, n. 9, p. 1538–1544, 2014; Rodrigues, N.V.S. et al. J. Braz. </w:t>
      </w:r>
      <w:r w:rsidRPr="004C4BDD">
        <w:rPr>
          <w:rFonts w:ascii="Times New Roman" w:hAnsi="Times New Roman" w:cs="Times New Roman"/>
          <w:sz w:val="16"/>
          <w:szCs w:val="16"/>
        </w:rPr>
        <w:t>Chem. Soc., v. 24, n. 3, p. 507–517, 2013.</w:t>
      </w:r>
    </w:p>
  </w:footnote>
  <w:footnote w:id="3">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A05F4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(ii)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(iii)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D50476"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C3687"/>
    <w:rsid w:val="000F7D23"/>
    <w:rsid w:val="00121D7C"/>
    <w:rsid w:val="00170E58"/>
    <w:rsid w:val="001C73AF"/>
    <w:rsid w:val="002307C0"/>
    <w:rsid w:val="00234E3F"/>
    <w:rsid w:val="00256A8B"/>
    <w:rsid w:val="00265B1A"/>
    <w:rsid w:val="00273609"/>
    <w:rsid w:val="00296B30"/>
    <w:rsid w:val="002E3AB8"/>
    <w:rsid w:val="00310CED"/>
    <w:rsid w:val="00314F35"/>
    <w:rsid w:val="003510F6"/>
    <w:rsid w:val="003974C7"/>
    <w:rsid w:val="00397A29"/>
    <w:rsid w:val="003C180D"/>
    <w:rsid w:val="003D599E"/>
    <w:rsid w:val="004078C8"/>
    <w:rsid w:val="00421636"/>
    <w:rsid w:val="004622F5"/>
    <w:rsid w:val="004640B8"/>
    <w:rsid w:val="0049780B"/>
    <w:rsid w:val="004A4051"/>
    <w:rsid w:val="004C4BDD"/>
    <w:rsid w:val="004F5D08"/>
    <w:rsid w:val="005233A2"/>
    <w:rsid w:val="00533532"/>
    <w:rsid w:val="00572A17"/>
    <w:rsid w:val="00584034"/>
    <w:rsid w:val="006E3713"/>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56B3E"/>
    <w:rsid w:val="00966958"/>
    <w:rsid w:val="009F19ED"/>
    <w:rsid w:val="00A01AC6"/>
    <w:rsid w:val="00A05F41"/>
    <w:rsid w:val="00A063B7"/>
    <w:rsid w:val="00A45005"/>
    <w:rsid w:val="00B043CE"/>
    <w:rsid w:val="00B63C3B"/>
    <w:rsid w:val="00B674A3"/>
    <w:rsid w:val="00BF5F05"/>
    <w:rsid w:val="00C21D74"/>
    <w:rsid w:val="00C223E1"/>
    <w:rsid w:val="00C238E6"/>
    <w:rsid w:val="00C371C9"/>
    <w:rsid w:val="00C41329"/>
    <w:rsid w:val="00CE1DD4"/>
    <w:rsid w:val="00CE519A"/>
    <w:rsid w:val="00D50476"/>
    <w:rsid w:val="00D75474"/>
    <w:rsid w:val="00DB2058"/>
    <w:rsid w:val="00E57B80"/>
    <w:rsid w:val="00E61541"/>
    <w:rsid w:val="00E6228B"/>
    <w:rsid w:val="00E74FC0"/>
    <w:rsid w:val="00EB22A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footer" Target="footer1.xml"/></Relationships>
</file>

<file path=word/_rels/footer1.xml.rels><?xml version="1.0" encoding="UTF-8"?><Relationships xmlns="http://schemas.openxmlformats.org/package/2006/relationships"><Relationship Id="rId1" Type="http://schemas.openxmlformats.org/officeDocument/2006/relationships/image" Target="media/image7.png"/></Relationships>
</file>

<file path=word/_rels/header2.xml.rels><?xml version="1.0" encoding="UTF-8"?><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7</Pages>
  <Words>2277</Words>
  <Characters>12298</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3</cp:revision>
  <dcterms:created xsi:type="dcterms:W3CDTF">2026-06-05T20:48:00Z</dcterms:created>
  <dcterms:modified xsi:type="dcterms:W3CDTF">2026-06-05T20:51:00Z</dcterms:modified>
</cp:coreProperties>
</file>