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374A3BE8"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[TOTAL]</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sidR="003E3F4C" w:rsidRPr="00D6381D">
        <w:rPr>
          <w:rFonts w:ascii="Times New Roman" w:hAnsi="Times New Roman" w:cs="Times New Roman"/>
          <w:sz w:val="24"/>
          <w:szCs w:val="24"/>
        </w:rPr>
        <w:t>Ofício nº</w:t>
      </w:r>
      <w:r w:rsidR="003C1AB1">
        <w:rPr>
          <w:rFonts w:ascii="Times New Roman" w:hAnsi="Times New Roman" w:cs="Times New Roman"/>
          <w:sz w:val="24"/>
          <w:szCs w:val="24"/>
        </w:rPr>
        <w:t>.</w:t>
      </w:r>
      <w:r w:rsidR="003E3F4C" w:rsidRPr="00D6381D">
        <w:rPr>
          <w:rFonts w:ascii="Times New Roman" w:hAnsi="Times New Roman" w:cs="Times New Roman"/>
          <w:sz w:val="24"/>
          <w:szCs w:val="24"/>
        </w:rPr>
        <w:t xml:space="preserve"> [DOCUMENTO]</w:t>
      </w:r>
      <w:r>
        <w:rPr>
          <w:rFonts w:ascii="Times New Roman" w:hAnsi="Times New Roman" w:cs="Times New Roman"/>
          <w:sz w:val="24"/>
          <w:szCs w:val="24"/>
        </w:rPr>
        <w:t xml:space="preserve">, datada de </w:t>
      </w:r>
      <w:r>
        <w:rPr>
          <w:rFonts w:ascii="Times New Roman" w:hAnsi="Times New Roman" w:cs="Times New Roman"/>
          <w:b/>
          <w:bCs/>
          <w:sz w:val="24"/>
          <w:szCs w:val="24"/>
        </w:rPr>
        <w:t>23</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emitida pela </w:t>
      </w:r>
      <w:r w:rsidR="003E3F4C">
        <w:rPr>
          <w:rFonts w:ascii="Times New Roman" w:hAnsi="Times New Roman" w:cs="Times New Roman"/>
          <w:b/>
          <w:bCs/>
          <w:sz w:val="24"/>
          <w:szCs w:val="24"/>
        </w:rPr>
        <w:t>SUPERITENDENCIA DE POLICIA RODOVIARIA FEDERAL – DELEGACIA DE PARNAÍBA/PI</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sidR="003E3F4C">
        <w:rPr>
          <w:rFonts w:ascii="Times New Roman" w:hAnsi="Times New Roman" w:cs="Times New Roman"/>
          <w:sz w:val="24"/>
          <w:szCs w:val="24"/>
        </w:rPr>
        <w:t>TCO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3058A3F7"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sidR="003E3F4C">
        <w:rPr>
          <w:rFonts w:ascii="Times New Roman" w:hAnsi="Times New Roman" w:cs="Times New Roman"/>
          <w:b/>
          <w:bCs/>
          <w:sz w:val="24"/>
          <w:szCs w:val="24"/>
        </w:rPr>
        <w:t>SUPERITENDENCIA DE POLICIA RODOVIARIA FEDERAL – DELEGACIA DE PARNAÍBA/PI</w:t>
      </w:r>
      <w:r w:rsidR="003E3F4C">
        <w:rPr>
          <w:rFonts w:ascii="Times New Roman" w:hAnsi="Times New Roman" w:cs="Times New Roman"/>
          <w:sz w:val="24"/>
          <w:szCs w:val="24"/>
        </w:rPr>
        <w:t xml:space="preserve"> </w:t>
      </w:r>
      <w:r>
        <w:rPr>
          <w:rFonts w:ascii="Times New Roman" w:hAnsi="Times New Roman" w:cs="Times New Roman"/>
          <w:sz w:val="24"/>
          <w:szCs w:val="24"/>
        </w:rPr>
        <w:t xml:space="preserve">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0F22D28B" w14:textId="6873FAE2" w:rsidR="003E3F4C" w:rsidRPr="00D6381D" w:rsidRDefault="003E3F4C" w:rsidP="003E3F4C">
      <w:pPr>
        <w:pStyle w:val="SemEspaamento"/>
        <w:jc w:val="both"/>
        <w:rPr>
          <w:rFonts w:ascii="Times New Roman" w:hAnsi="Times New Roman" w:cs="Times New Roman"/>
          <w:sz w:val="24"/>
          <w:szCs w:val="24"/>
        </w:rPr>
      </w:pPr>
      <w:r w:rsidRPr="00D6381D">
        <w:rPr>
          <w:rFonts w:ascii="Times New Roman" w:hAnsi="Times New Roman" w:cs="Times New Roman"/>
          <w:sz w:val="24"/>
          <w:szCs w:val="24"/>
        </w:rPr>
        <w:t xml:space="preserve">O  material  apreendido,  proveniente  da  unidade  policial,  adentrou  nesta  unidade  pericial, sem </w:t>
      </w:r>
      <w:r w:rsidRPr="00D6381D">
        <w:rPr>
          <w:rFonts w:ascii="Times New Roman" w:hAnsi="Times New Roman" w:cs="Times New Roman"/>
          <w:sz w:val="24"/>
          <w:szCs w:val="24"/>
        </w:rPr>
        <w:t>numeração</w:t>
      </w:r>
      <w:r w:rsidRPr="00D6381D">
        <w:rPr>
          <w:rFonts w:ascii="Times New Roman" w:hAnsi="Times New Roman" w:cs="Times New Roman"/>
          <w:sz w:val="24"/>
          <w:szCs w:val="24"/>
        </w:rPr>
        <w:t xml:space="preserve"> de </w:t>
      </w:r>
      <w:r>
        <w:rPr>
          <w:rFonts w:ascii="Times New Roman" w:hAnsi="Times New Roman" w:cs="Times New Roman"/>
          <w:sz w:val="24"/>
          <w:szCs w:val="24"/>
        </w:rPr>
        <w:t>Envelope de Vestígios/Lacre</w:t>
      </w:r>
      <w:r w:rsidRPr="00D6381D">
        <w:rPr>
          <w:rFonts w:ascii="Times New Roman" w:hAnsi="Times New Roman" w:cs="Times New Roman"/>
          <w:sz w:val="24"/>
          <w:szCs w:val="24"/>
        </w:rPr>
        <w:t xml:space="preserve"> de  entrada,  no  entanto,  a  rastreabilidade  do  material  entre  a  apreensão  e  o  recebimento  nesta unidade pericial foi assegurada pelo Ofício nº</w:t>
      </w:r>
      <w:r w:rsidR="003C1AB1">
        <w:rPr>
          <w:rFonts w:ascii="Times New Roman" w:hAnsi="Times New Roman" w:cs="Times New Roman"/>
          <w:sz w:val="24"/>
          <w:szCs w:val="24"/>
        </w:rPr>
        <w:t>.</w:t>
      </w:r>
      <w:r w:rsidRPr="00D6381D">
        <w:rPr>
          <w:rFonts w:ascii="Times New Roman" w:hAnsi="Times New Roman" w:cs="Times New Roman"/>
          <w:sz w:val="24"/>
          <w:szCs w:val="24"/>
        </w:rPr>
        <w:t xml:space="preserve"> [DOCUMENTO], cujo instrumento supre funcionalmente o lacre de entrada no contexto de remessa interinstitucional, em conformidade com o art. 158-B, IV, do CPP, que admite o documento de tramitação como elemento da cadeia de custódia, sendo cadastrado no sistema AMPLO sob nº. </w:t>
      </w:r>
      <w:r w:rsidRPr="003E3F4C">
        <w:rPr>
          <w:rFonts w:ascii="Times New Roman" w:hAnsi="Times New Roman" w:cs="Times New Roman"/>
          <w:b/>
          <w:bCs/>
          <w:sz w:val="24"/>
          <w:szCs w:val="24"/>
        </w:rPr>
        <w:t>[AMPLO]</w:t>
      </w:r>
      <w:r w:rsidRPr="00D6381D">
        <w:rPr>
          <w:rFonts w:ascii="Times New Roman" w:hAnsi="Times New Roman" w:cs="Times New Roman"/>
          <w:sz w:val="24"/>
          <w:szCs w:val="24"/>
        </w:rPr>
        <w:t>. O referido material foi encaminhado diretamente ao Setor de Química Forense para realização do exame definitivo, sem submissão a exame preliminar prévio.</w:t>
      </w:r>
    </w:p>
    <w:p w14:paraId="7502FFF8" w14:textId="77777777" w:rsidR="003E3F4C" w:rsidRDefault="003E3F4C" w:rsidP="00170E58">
      <w:pPr>
        <w:spacing w:before="80" w:after="80"/>
        <w:jc w:val="both"/>
        <w:rPr>
          <w:rFonts w:ascii="Times New Roman" w:hAnsi="Times New Roman" w:cs="Times New Roman"/>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CE2748">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14:paraId="317F0196"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081ED45" w14:textId="77777777"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a.</w:t>
            </w:r>
          </w:p>
        </w:tc>
        <w:tc>
          <w:tcPr>
            <w:tcW w:w="2290" w:type="dxa"/>
          </w:tcPr>
          <w:p w14:paraId="237851E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[MASSA_CR]0</w:t>
            </w:r>
            <w:r>
              <w:rPr>
                <w:rFonts w:ascii="Times New Roman" w:hAnsi="Times New Roman" w:cs="Times New Roman"/>
                <w:sz w:val="20"/>
                <w:szCs w:val="20"/>
              </w:rPr>
              <w:t xml:space="preserve"> g (</w:t>
            </w:r>
            <w:r>
              <w:rPr>
                <w:rFonts w:ascii="Times New Roman" w:hAnsi="Times New Roman" w:cs="Times New Roman"/>
                <w:i/>
                <w:iCs/>
                <w:sz w:val="20"/>
                <w:szCs w:val="20"/>
              </w:rPr>
              <w:t>[MASSA_CR_EXT]</w:t>
            </w:r>
            <w:r>
              <w:rPr>
                <w:rFonts w:ascii="Times New Roman" w:hAnsi="Times New Roman" w:cs="Times New Roman"/>
                <w:sz w:val="20"/>
                <w:szCs w:val="20"/>
              </w:rPr>
              <w:t>) massa bruta</w:t>
            </w:r>
          </w:p>
        </w:tc>
        <w:tc>
          <w:tcPr>
            <w:tcW w:w="1316" w:type="dxa"/>
          </w:tcPr>
          <w:p w14:paraId="59EBAD1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[QTD_CR]</w:t>
            </w:r>
          </w:p>
        </w:tc>
        <w:tc>
          <w:tcPr>
            <w:tcW w:w="2086" w:type="dxa"/>
          </w:tcPr>
          <w:p w14:paraId="415D1E55" w14:textId="68217D44" w:rsidR="00533532" w:rsidRPr="00B674A3"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2C6172D4"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sólida de coloração amarela, superfície irregular, aspecto pétreo, odor característico.</w:t>
            </w:r>
          </w:p>
        </w:tc>
      </w:tr>
    </w:tbl>
    <w:p w14:paraId="1C580BC5" w14:textId="5923EA90"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sidRPr="00B63C3B">
        <w:rPr>
          <w:rFonts w:ascii="Times New Roman" w:hAnsi="Times New Roman" w:cs="Times New Roman"/>
          <w:i/>
          <w:iCs/>
          <w:noProof/>
        </w:rPr>
        <w:drawing>
          <wp:inline distT="0" distB="0" distL="0" distR="0" wp14:anchorId="5F853967" wp14:editId="1580BEF0">
            <wp:extent cx="5909310" cy="3594157"/>
            <wp:effectExtent l="19050" t="19050" r="15240" b="2540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915356" cy="3597834"/>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7F7483BA"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 de cada item — analisadas individualmente. Das frações examinadas foram ainda separadas amostras para constituição de contraprova, mantidas sob custódia nesta unidade pericial, acondicionadas sob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w:t>
      </w:r>
      <w:r w:rsidR="00B63C3B">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72AE0332"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Fonts w:ascii="Times New Roman" w:hAnsi="Times New Roman" w:cs="Times New Roman"/>
          <w:sz w:val="24"/>
          <w:szCs w:val="24"/>
        </w:rPr>
        <w:footnoteReference w:id="2"/>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Co(SCN)₂ (solução 1% aquosa); HCl (10%); CHCl₃ (p.a.).</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[Co(SCN)₂·alcaloide];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HCl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CHCl₃ p.a.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3D12081A" w14:textId="77777777" w:rsidR="00256A8B" w:rsidRDefault="00256A8B" w:rsidP="00256A8B">
      <w:pPr>
        <w:jc w:val="both"/>
        <w:rPr>
          <w:b/>
        </w:rPr>
      </w:pPr>
    </w:p>
    <w:p w14:paraId="67835EA9" w14:textId="354BCEDC"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 xml:space="preserve">2.3.   </w:t>
      </w:r>
      <w:r w:rsidRPr="007B71B0">
        <w:rPr>
          <w:rFonts w:ascii="Times New Roman" w:hAnsi="Times New Roman" w:cs="Times New Roman"/>
          <w:sz w:val="24"/>
          <w:szCs w:val="24"/>
        </w:rPr>
        <w:t>Espectroscopia no Infravermelho por Transformada de Fourier (FTIR-ATR)</w:t>
      </w:r>
    </w:p>
    <w:p w14:paraId="2649FDA5" w14:textId="1F7473F7" w:rsidR="00E61541" w:rsidRDefault="00E61541"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r w:rsidR="00B75828">
        <w:rPr>
          <w:rFonts w:ascii="Times New Roman" w:hAnsi="Times New Roman" w:cs="Times New Roman"/>
          <w:sz w:val="24"/>
          <w:szCs w:val="24"/>
        </w:rPr>
        <w:t xml:space="preserve">dos itens questionados </w:t>
      </w:r>
      <w:r>
        <w:rPr>
          <w:rFonts w:ascii="Times New Roman" w:hAnsi="Times New Roman" w:cs="Times New Roman"/>
          <w:sz w:val="24"/>
          <w:szCs w:val="24"/>
        </w:rPr>
        <w:t>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w:t>
      </w:r>
      <w:r w:rsidR="00CE1DD4">
        <w:rPr>
          <w:rFonts w:ascii="Times New Roman" w:hAnsi="Times New Roman" w:cs="Times New Roman"/>
          <w:sz w:val="24"/>
          <w:szCs w:val="24"/>
        </w:rPr>
        <w:t>.</w:t>
      </w:r>
      <w:r>
        <w:rPr>
          <w:rFonts w:ascii="Times New Roman" w:hAnsi="Times New Roman" w:cs="Times New Roman"/>
          <w:sz w:val="24"/>
          <w:szCs w:val="24"/>
        </w:rPr>
        <w:t xml:space="preserve"> </w:t>
      </w:r>
      <w:r w:rsidRPr="00E61541">
        <w:rPr>
          <w:rFonts w:ascii="Times New Roman" w:hAnsi="Times New Roman" w:cs="Times New Roman"/>
          <w:sz w:val="24"/>
          <w:szCs w:val="24"/>
        </w:rPr>
        <w:t>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6BC277AD" w14:textId="558B3731" w:rsidR="00CE1DD4" w:rsidRPr="007B71B0" w:rsidRDefault="00CE1DD4" w:rsidP="00CE1DD4">
      <w:pPr>
        <w:spacing w:before="80" w:after="80"/>
        <w:jc w:val="both"/>
        <w:rPr>
          <w:rFonts w:ascii="Times New Roman" w:hAnsi="Times New Roman" w:cs="Times New Roman"/>
          <w:sz w:val="24"/>
          <w:szCs w:val="24"/>
        </w:rPr>
      </w:pPr>
      <w:r w:rsidRPr="00CE519A">
        <w:rPr>
          <w:rFonts w:ascii="Times New Roman" w:hAnsi="Times New Roman" w:cs="Times New Roman"/>
          <w:b/>
          <w:bCs/>
          <w:sz w:val="24"/>
          <w:szCs w:val="24"/>
        </w:rPr>
        <w:t>Equipamento:</w:t>
      </w:r>
      <w:r>
        <w:rPr>
          <w:rFonts w:ascii="Times New Roman" w:hAnsi="Times New Roman" w:cs="Times New Roman"/>
          <w:sz w:val="24"/>
          <w:szCs w:val="24"/>
        </w:rPr>
        <w:t xml:space="preserve"> </w:t>
      </w:r>
      <w:r w:rsidR="00CE519A" w:rsidRPr="00CE519A">
        <w:rPr>
          <w:rFonts w:ascii="Times New Roman" w:hAnsi="Times New Roman" w:cs="Times New Roman"/>
          <w:sz w:val="24"/>
          <w:szCs w:val="24"/>
        </w:rPr>
        <w:t xml:space="preserve">Espectrômetro </w:t>
      </w:r>
      <w:r w:rsidR="00CE519A" w:rsidRPr="00CE519A">
        <w:rPr>
          <w:rStyle w:val="Forte"/>
          <w:rFonts w:ascii="Times New Roman" w:hAnsi="Times New Roman" w:cs="Times New Roman"/>
          <w:b w:val="0"/>
          <w:bCs w:val="0"/>
          <w:i/>
          <w:iCs/>
          <w:sz w:val="24"/>
          <w:szCs w:val="24"/>
        </w:rPr>
        <w:t>Bruker Alpha II</w:t>
      </w:r>
      <w:r w:rsidR="00CE519A" w:rsidRPr="00CE519A">
        <w:rPr>
          <w:rFonts w:ascii="Times New Roman" w:hAnsi="Times New Roman" w:cs="Times New Roman"/>
          <w:sz w:val="24"/>
          <w:szCs w:val="24"/>
        </w:rPr>
        <w:t>, equipado com acessório de Reflectância Total Atenuada (ATR) com cristal de diamante, operando na região espectral de 4000 a 650 cm⁻¹, com 16 varreduras (</w:t>
      </w:r>
      <w:r w:rsidR="00CE519A" w:rsidRPr="00CE519A">
        <w:rPr>
          <w:rStyle w:val="nfase"/>
          <w:rFonts w:ascii="Times New Roman" w:hAnsi="Times New Roman" w:cs="Times New Roman"/>
          <w:sz w:val="24"/>
          <w:szCs w:val="24"/>
        </w:rPr>
        <w:t>scans</w:t>
      </w:r>
      <w:r w:rsidR="00CE519A" w:rsidRPr="00CE519A">
        <w:rPr>
          <w:rFonts w:ascii="Times New Roman" w:hAnsi="Times New Roman" w:cs="Times New Roman"/>
          <w:sz w:val="24"/>
          <w:szCs w:val="24"/>
        </w:rPr>
        <w:t xml:space="preserve">) e resolução de 4 cm⁻¹. O processamento e a identificação espectral foram realizados pelo software </w:t>
      </w:r>
      <w:r w:rsidR="00CE519A" w:rsidRPr="00CE519A">
        <w:rPr>
          <w:rStyle w:val="nfase"/>
          <w:rFonts w:ascii="Times New Roman" w:hAnsi="Times New Roman" w:cs="Times New Roman"/>
          <w:sz w:val="24"/>
          <w:szCs w:val="24"/>
        </w:rPr>
        <w:t>OPUS DrugID Wizard</w:t>
      </w:r>
      <w:r w:rsidR="00CE519A" w:rsidRPr="00CE519A">
        <w:rPr>
          <w:rFonts w:ascii="Times New Roman" w:hAnsi="Times New Roman" w:cs="Times New Roman"/>
          <w:sz w:val="24"/>
          <w:szCs w:val="24"/>
        </w:rPr>
        <w:t xml:space="preserve"> (Bruker Optik GmbH)</w:t>
      </w:r>
      <w:r>
        <w:rPr>
          <w:rFonts w:ascii="Times New Roman" w:hAnsi="Times New Roman" w:cs="Times New Roman"/>
          <w:sz w:val="24"/>
          <w:szCs w:val="24"/>
        </w:rPr>
        <w:t>.</w:t>
      </w:r>
    </w:p>
    <w:p w14:paraId="365B6780" w14:textId="4A0CBA2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 (tolerância ±4 cm⁻¹).</w:t>
      </w:r>
      <w:r>
        <w:rPr>
          <w:rStyle w:val="Refdenotaderodap"/>
          <w:rFonts w:ascii="Times New Roman" w:hAnsi="Times New Roman" w:cs="Times New Roman"/>
          <w:sz w:val="24"/>
          <w:szCs w:val="24"/>
        </w:rPr>
        <w:footnoteReference w:id="3"/>
      </w:r>
    </w:p>
    <w:p w14:paraId="2B967F7D" w14:textId="46655709" w:rsidR="00256A8B" w:rsidRPr="00256A8B" w:rsidRDefault="00256A8B" w:rsidP="00256A8B">
      <w:pPr>
        <w:jc w:val="center"/>
        <w:rPr>
          <w:rFonts w:ascii="Times New Roman" w:hAnsi="Times New Roman" w:cs="Times New Roman"/>
          <w:i/>
          <w:iCs/>
          <w:sz w:val="20"/>
          <w:szCs w:val="20"/>
        </w:rPr>
      </w:pPr>
      <w:r>
        <w:rPr>
          <w:noProof/>
        </w:rPr>
        <w:lastRenderedPageBreak/>
        <w:drawing>
          <wp:anchor distT="0" distB="0" distL="114300" distR="114300" simplePos="0" relativeHeight="251659264" behindDoc="0" locked="0" layoutInCell="1" allowOverlap="1" wp14:anchorId="6F6C15E3" wp14:editId="2730C84B">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bookmarkStart w:id="0" w:name="_Hlk231492372"/>
      <w:r>
        <w:rPr>
          <w:rFonts w:ascii="Times New Roman" w:hAnsi="Times New Roman" w:cs="Times New Roman"/>
          <w:sz w:val="24"/>
          <w:szCs w:val="24"/>
        </w:rPr>
        <w:t>Cada</w:t>
      </w:r>
      <w:r w:rsidR="004A4051">
        <w:rPr>
          <w:rFonts w:ascii="Times New Roman" w:hAnsi="Times New Roman" w:cs="Times New Roman"/>
          <w:sz w:val="24"/>
          <w:szCs w:val="24"/>
        </w:rPr>
        <w:t xml:space="preserve"> amostra apresentou </w:t>
      </w:r>
      <w:bookmarkEnd w:id="0"/>
      <w:r w:rsidR="004A4051">
        <w:rPr>
          <w:rFonts w:ascii="Times New Roman" w:hAnsi="Times New Roman" w:cs="Times New Roman"/>
          <w:sz w:val="24"/>
          <w:szCs w:val="24"/>
        </w:rPr>
        <w:t>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bookmarkStart w:id="1" w:name="_Hlk231492344"/>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CE2748">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sidRPr="002E3AB8">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Resultado integrado</w:t>
            </w:r>
          </w:p>
        </w:tc>
      </w:tr>
      <w:tr w:rsidR="008E04B3" w:rsidRPr="002E3AB8" w14:paraId="14778BA3" w14:textId="77777777" w:rsidTr="00CE2748">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2E3AB8">
              <w:rPr>
                <w:rFonts w:ascii="Times New Roman" w:hAnsi="Times New Roman" w:cs="Times New Roman"/>
                <w:sz w:val="20"/>
                <w:szCs w:val="20"/>
              </w:rPr>
              <w:t xml:space="preserve"> </w:t>
            </w:r>
            <w:r w:rsidRPr="00310CED">
              <w:rPr>
                <w:rFonts w:ascii="Times New Roman" w:hAnsi="Times New Roman" w:cs="Times New Roman"/>
                <w:i/>
                <w:iCs/>
                <w:sz w:val="20"/>
                <w:szCs w:val="20"/>
              </w:rPr>
              <w:t>Formação de precipitado azul [Co(SCN)₂·cocaína]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Desaparecimento da coloração com HCl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Reaparecimento da coloração azul na fase orgânica (CHCl₃)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8E04B3" w:rsidRPr="002E3AB8" w14:paraId="2F6DE1C1" w14:textId="77777777" w:rsidTr="00CE2748">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2E3AB8" w:rsidRDefault="008E04B3" w:rsidP="008E04B3">
            <w:pPr>
              <w:spacing w:before="80" w:after="80" w:line="276" w:lineRule="auto"/>
              <w:jc w:val="center"/>
              <w:rPr>
                <w:rFonts w:ascii="Times New Roman" w:hAnsi="Times New Roman" w:cs="Times New Roman"/>
                <w:sz w:val="20"/>
                <w:szCs w:val="20"/>
              </w:rPr>
            </w:pPr>
            <w:r w:rsidRPr="002E3AB8">
              <w:rPr>
                <w:rFonts w:ascii="Times New Roman" w:hAnsi="Times New Roman" w:cs="Times New Roman"/>
                <w:sz w:val="20"/>
                <w:szCs w:val="20"/>
              </w:rPr>
              <w:t>a.</w:t>
            </w:r>
          </w:p>
        </w:tc>
        <w:tc>
          <w:tcPr>
            <w:tcW w:w="2147" w:type="dxa"/>
          </w:tcPr>
          <w:p w14:paraId="429693AE" w14:textId="058BD60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Cs/>
                <w:sz w:val="20"/>
                <w:szCs w:val="20"/>
              </w:rPr>
              <w:t>POSITIVO</w:t>
            </w:r>
          </w:p>
        </w:tc>
        <w:tc>
          <w:tcPr>
            <w:tcW w:w="1840" w:type="dxa"/>
          </w:tcPr>
          <w:p w14:paraId="25AC4BE2" w14:textId="06472F67"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5DE7F67D" w14:textId="139D4DCE"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26E80E00" w14:textId="0D26516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
                <w:bCs/>
                <w:sz w:val="20"/>
                <w:szCs w:val="20"/>
              </w:rPr>
              <w:t>PRESUNTIVO POSITIVO para alcaloide tropânico</w:t>
            </w:r>
          </w:p>
        </w:tc>
      </w:tr>
    </w:tbl>
    <w:p w14:paraId="3B77D382" w14:textId="1E55E1B6"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bookmarkEnd w:id="1"/>
    <w:p w14:paraId="66D34F8F" w14:textId="77777777" w:rsidR="00533532" w:rsidRPr="004622F5" w:rsidRDefault="00533532" w:rsidP="004622F5">
      <w:pPr>
        <w:jc w:val="both"/>
        <w:rPr>
          <w:rFonts w:ascii="Times New Roman" w:hAnsi="Times New Roman" w:cs="Times New Roman"/>
          <w:sz w:val="24"/>
          <w:szCs w:val="24"/>
        </w:rPr>
      </w:pPr>
    </w:p>
    <w:p w14:paraId="53A01829" w14:textId="1B3CEA8D" w:rsidR="00533532" w:rsidRPr="004622F5" w:rsidRDefault="004A4051" w:rsidP="004622F5">
      <w:pPr>
        <w:pStyle w:val="Ttulo2"/>
        <w:spacing w:before="120"/>
        <w:jc w:val="both"/>
        <w:rPr>
          <w:rFonts w:ascii="Times New Roman" w:hAnsi="Times New Roman" w:cs="Times New Roman"/>
          <w:sz w:val="24"/>
          <w:szCs w:val="24"/>
        </w:rPr>
      </w:pPr>
      <w:bookmarkStart w:id="2" w:name="_Hlk231492446"/>
      <w:r>
        <w:rPr>
          <w:rFonts w:ascii="Times New Roman" w:hAnsi="Times New Roman" w:cs="Times New Roman"/>
          <w:sz w:val="24"/>
          <w:szCs w:val="24"/>
        </w:rPr>
        <w:t>3.2   Análise por FTIR-ATR — Item a.</w:t>
      </w:r>
    </w:p>
    <w:p w14:paraId="3FCBB65C" w14:textId="3AE9D39E" w:rsidR="00533532" w:rsidRPr="004622F5" w:rsidRDefault="004A4051" w:rsidP="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cocaína base (benzoilmetilecgonina)</w:t>
      </w:r>
      <w:r>
        <w:rPr>
          <w:rFonts w:ascii="Times New Roman" w:hAnsi="Times New Roman" w:cs="Times New Roman"/>
          <w:sz w:val="24"/>
          <w:szCs w:val="24"/>
        </w:rPr>
        <w:t xml:space="preserve"> em biblioteca de referência</w:t>
      </w:r>
      <w:r w:rsidR="00CE2748">
        <w:rPr>
          <w:rFonts w:ascii="Times New Roman" w:hAnsi="Times New Roman" w:cs="Times New Roman"/>
          <w:sz w:val="24"/>
          <w:szCs w:val="24"/>
        </w:rPr>
        <w:t xml:space="preserve"> </w:t>
      </w:r>
      <w:r w:rsidR="00CE2748" w:rsidRPr="004F3C53">
        <w:rPr>
          <w:rFonts w:ascii="Times New Roman" w:eastAsia="Times New Roman" w:hAnsi="Times New Roman" w:cs="Times New Roman"/>
          <w:sz w:val="24"/>
          <w:szCs w:val="24"/>
        </w:rPr>
        <w:t xml:space="preserve">consultada por meio do software </w:t>
      </w:r>
      <w:r w:rsidR="00CE2748" w:rsidRPr="004F3C53">
        <w:rPr>
          <w:rFonts w:ascii="Times New Roman" w:eastAsia="Times New Roman" w:hAnsi="Times New Roman" w:cs="Times New Roman"/>
          <w:i/>
          <w:iCs/>
          <w:sz w:val="24"/>
          <w:szCs w:val="24"/>
        </w:rPr>
        <w:t>OPUS DrugID Wizard</w:t>
      </w:r>
      <w:r>
        <w:rPr>
          <w:rFonts w:ascii="Times New Roman" w:hAnsi="Times New Roman" w:cs="Times New Roman"/>
          <w:sz w:val="24"/>
          <w:szCs w:val="24"/>
        </w:rPr>
        <w:t xml:space="preserve">. Observou-se concordância com bandas espectrais diagnósticas atribuíveis à </w:t>
      </w:r>
      <w:r>
        <w:rPr>
          <w:rFonts w:ascii="Times New Roman" w:hAnsi="Times New Roman" w:cs="Times New Roman"/>
          <w:b/>
          <w:bCs/>
          <w:sz w:val="24"/>
          <w:szCs w:val="24"/>
        </w:rPr>
        <w:t>Cocaína Base — benzoilmetilecgonina</w:t>
      </w:r>
      <w:r>
        <w:rPr>
          <w:rFonts w:ascii="Times New Roman" w:hAnsi="Times New Roman" w:cs="Times New Roman"/>
          <w:sz w:val="24"/>
          <w:szCs w:val="24"/>
        </w:rPr>
        <w:t xml:space="preserve">, nome IUPAC: </w:t>
      </w:r>
      <w:r>
        <w:rPr>
          <w:rFonts w:ascii="Times New Roman" w:hAnsi="Times New Roman" w:cs="Times New Roman"/>
          <w:i/>
          <w:iCs/>
          <w:sz w:val="24"/>
          <w:szCs w:val="24"/>
        </w:rPr>
        <w:t>metil (1R,2R,3S,5S)-3-(benzoiloxi)-8-metil-8-azabiciclo[3.2.1]octano-2-carboxilato</w:t>
      </w:r>
      <w:r>
        <w:rPr>
          <w:rFonts w:ascii="Times New Roman" w:hAnsi="Times New Roman" w:cs="Times New Roman"/>
          <w:sz w:val="24"/>
          <w:szCs w:val="24"/>
        </w:rPr>
        <w:t>. Fórmula molecular: C₁₇H₂₁NO₄. Peso molecular: 303,4 g/mol.</w:t>
      </w:r>
    </w:p>
    <w:tbl>
      <w:tblPr>
        <w:tblStyle w:val="TabeladeGrade4-nfase1"/>
        <w:tblW w:w="9660" w:type="dxa"/>
        <w:tblLook w:val="04A0" w:firstRow="1" w:lastRow="0" w:firstColumn="1" w:lastColumn="0" w:noHBand="0" w:noVBand="1"/>
      </w:tblPr>
      <w:tblGrid>
        <w:gridCol w:w="1804"/>
        <w:gridCol w:w="1704"/>
        <w:gridCol w:w="3145"/>
        <w:gridCol w:w="3007"/>
      </w:tblGrid>
      <w:tr w:rsidR="00533532" w:rsidRPr="007A6772" w14:paraId="4374DFD5" w14:textId="77777777" w:rsidTr="00CE2748">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7A6772" w:rsidRDefault="004A4051" w:rsidP="004622F5">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4" w:type="dxa"/>
          </w:tcPr>
          <w:p w14:paraId="18611C43"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45" w:type="dxa"/>
          </w:tcPr>
          <w:p w14:paraId="6085ED5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7" w:type="dxa"/>
          </w:tcPr>
          <w:p w14:paraId="0CEEE28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533532" w:rsidRPr="007A6772" w14:paraId="1E016DB8" w14:textId="77777777" w:rsidTr="00CE2748">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~1735–1715</w:t>
            </w:r>
          </w:p>
        </w:tc>
        <w:tc>
          <w:tcPr>
            <w:tcW w:w="1704" w:type="dxa"/>
          </w:tcPr>
          <w:p w14:paraId="40E2D3AB"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58DF303F"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(estiramento carbonila)</w:t>
            </w:r>
          </w:p>
        </w:tc>
        <w:tc>
          <w:tcPr>
            <w:tcW w:w="3007" w:type="dxa"/>
          </w:tcPr>
          <w:p w14:paraId="054AB4A9"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benzóico</w:t>
            </w:r>
          </w:p>
        </w:tc>
      </w:tr>
      <w:tr w:rsidR="00533532" w:rsidRPr="007A6772" w14:paraId="30E797E6" w14:textId="77777777" w:rsidTr="00CE2748">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4" w:type="dxa"/>
          </w:tcPr>
          <w:p w14:paraId="66ACD0CF"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0ED371AA"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w:t>
            </w:r>
          </w:p>
        </w:tc>
        <w:tc>
          <w:tcPr>
            <w:tcW w:w="3007" w:type="dxa"/>
          </w:tcPr>
          <w:p w14:paraId="60BC3FC7"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benzênico</w:t>
            </w:r>
          </w:p>
        </w:tc>
      </w:tr>
      <w:tr w:rsidR="00533532" w:rsidRPr="007A6772" w14:paraId="32B10389" w14:textId="77777777" w:rsidTr="00CE2748">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1275–1240</w:t>
            </w:r>
          </w:p>
        </w:tc>
        <w:tc>
          <w:tcPr>
            <w:tcW w:w="1704" w:type="dxa"/>
          </w:tcPr>
          <w:p w14:paraId="0ADC6DC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456C3EF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7" w:type="dxa"/>
          </w:tcPr>
          <w:p w14:paraId="64B945A0"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533532" w:rsidRPr="007A6772" w14:paraId="6D21F37F" w14:textId="77777777" w:rsidTr="00CE2748">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1100–1050</w:t>
            </w:r>
          </w:p>
        </w:tc>
        <w:tc>
          <w:tcPr>
            <w:tcW w:w="1704" w:type="dxa"/>
          </w:tcPr>
          <w:p w14:paraId="23447133"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13B77F2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w:t>
            </w:r>
          </w:p>
        </w:tc>
        <w:tc>
          <w:tcPr>
            <w:tcW w:w="3007" w:type="dxa"/>
          </w:tcPr>
          <w:p w14:paraId="0195DBE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r w:rsidR="00533532" w:rsidRPr="007A6772" w14:paraId="0D3A1315" w14:textId="77777777" w:rsidTr="00CE2748">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~1200–1150</w:t>
            </w:r>
          </w:p>
        </w:tc>
        <w:tc>
          <w:tcPr>
            <w:tcW w:w="1704" w:type="dxa"/>
          </w:tcPr>
          <w:p w14:paraId="4496D2E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6925F53B"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C–N — AUSÊNCIA de N⁺–H</w:t>
            </w:r>
            <w:r>
              <w:rPr>
                <w:rFonts w:ascii="Times New Roman" w:hAnsi="Times New Roman" w:cs="Times New Roman"/>
                <w:sz w:val="20"/>
                <w:szCs w:val="20"/>
              </w:rPr>
              <w:t xml:space="preserve"> (diagnóstica: diferencia base de cloridrato)</w:t>
            </w:r>
          </w:p>
        </w:tc>
        <w:tc>
          <w:tcPr>
            <w:tcW w:w="3007" w:type="dxa"/>
          </w:tcPr>
          <w:p w14:paraId="703DC84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livre</w:t>
            </w:r>
          </w:p>
        </w:tc>
      </w:tr>
      <w:tr w:rsidR="00533532" w:rsidRPr="007A6772" w14:paraId="02E4FE7F" w14:textId="77777777" w:rsidTr="00CE2748">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3000–2850</w:t>
            </w:r>
          </w:p>
        </w:tc>
        <w:tc>
          <w:tcPr>
            <w:tcW w:w="1704" w:type="dxa"/>
          </w:tcPr>
          <w:p w14:paraId="3BFE8295"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2DE45A55"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w:t>
            </w:r>
          </w:p>
        </w:tc>
        <w:tc>
          <w:tcPr>
            <w:tcW w:w="3007" w:type="dxa"/>
          </w:tcPr>
          <w:p w14:paraId="2C6A3E4E"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carbônica</w:t>
            </w:r>
          </w:p>
        </w:tc>
      </w:tr>
    </w:tbl>
    <w:p w14:paraId="11183CF7" w14:textId="01A7DA2F" w:rsidR="00533532" w:rsidRPr="007A6772" w:rsidRDefault="004A4051" w:rsidP="001C73AF">
      <w:pPr>
        <w:spacing w:before="80" w:after="80"/>
        <w:rPr>
          <w:rFonts w:ascii="Times New Roman" w:hAnsi="Times New Roman" w:cs="Times New Roman"/>
          <w:sz w:val="20"/>
          <w:szCs w:val="20"/>
        </w:rPr>
      </w:pPr>
      <w:r>
        <w:rPr>
          <w:rFonts w:ascii="Times New Roman" w:hAnsi="Times New Roman" w:cs="Times New Roman"/>
          <w:i/>
          <w:iCs/>
          <w:sz w:val="20"/>
          <w:szCs w:val="20"/>
        </w:rPr>
        <w:t>Tabela 3. Bandas espectrais diagnósticas — FTIR-ATR — Cocaína Base (benzoilmetilecgonina).</w:t>
      </w:r>
    </w:p>
    <w:p w14:paraId="7E330624" w14:textId="77777777" w:rsidR="00E57B80" w:rsidRDefault="00256A8B" w:rsidP="004622F5">
      <w:pPr>
        <w:spacing w:before="80" w:after="80"/>
        <w:jc w:val="center"/>
        <w:rPr>
          <w:rFonts w:ascii="Times New Roman" w:hAnsi="Times New Roman" w:cs="Times New Roman"/>
          <w:i/>
          <w:iCs/>
        </w:rPr>
      </w:pPr>
      <w:r>
        <w:rPr>
          <w:noProof/>
        </w:rPr>
        <w:lastRenderedPageBreak/>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09A89ABE" w:rsidR="007A6772" w:rsidRPr="00291605" w:rsidRDefault="00E57B80" w:rsidP="004622F5">
      <w:pPr>
        <w:spacing w:before="80" w:after="80"/>
        <w:jc w:val="center"/>
        <w:rPr>
          <w:rFonts w:ascii="Times New Roman" w:hAnsi="Times New Roman" w:cs="Times New Roman"/>
          <w:i/>
          <w:iCs/>
          <w:sz w:val="20"/>
          <w:szCs w:val="20"/>
        </w:rPr>
      </w:pPr>
      <w:r w:rsidRPr="00291605">
        <w:rPr>
          <w:rFonts w:ascii="Times New Roman" w:hAnsi="Times New Roman" w:cs="Times New Roman"/>
          <w:i/>
          <w:iCs/>
          <w:sz w:val="20"/>
          <w:szCs w:val="20"/>
        </w:rPr>
        <w:t xml:space="preserve">Estrutura química da </w:t>
      </w:r>
      <w:r w:rsidRPr="00291605">
        <w:rPr>
          <w:rFonts w:ascii="Times New Roman" w:hAnsi="Times New Roman" w:cs="Times New Roman"/>
          <w:b/>
          <w:bCs/>
          <w:i/>
          <w:iCs/>
          <w:sz w:val="20"/>
          <w:szCs w:val="20"/>
        </w:rPr>
        <w:t>Cocaína</w:t>
      </w:r>
    </w:p>
    <w:bookmarkEnd w:id="2"/>
    <w:p w14:paraId="619EF4AD" w14:textId="77777777" w:rsidR="00A05F41" w:rsidRPr="00B043CE" w:rsidRDefault="00A05F41" w:rsidP="00A05F41">
      <w:pPr>
        <w:pStyle w:val="Ttulo1"/>
        <w:rPr>
          <w:rFonts w:ascii="Times New Roman" w:hAnsi="Times New Roman" w:cs="Times New Roman"/>
        </w:rPr>
      </w:pPr>
      <w:r w:rsidRPr="00B043CE">
        <w:rPr>
          <w:rFonts w:ascii="Times New Roman" w:hAnsi="Times New Roman" w:cs="Times New Roman"/>
        </w:rPr>
        <w:t>4.   CONCLUSÃO</w:t>
      </w:r>
      <w:r w:rsidRPr="007B71B0">
        <w:rPr>
          <w:rStyle w:val="Refdenotaderodap"/>
          <w:rFonts w:ascii="Times New Roman" w:hAnsi="Times New Roman" w:cs="Times New Roman"/>
        </w:rPr>
        <w:footnoteReference w:id="4"/>
      </w:r>
    </w:p>
    <w:p w14:paraId="262808D6" w14:textId="6F41EAF5" w:rsidR="00533532" w:rsidRPr="00B043CE" w:rsidRDefault="004A4051" w:rsidP="001D12DE">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8E7B0BD" w14:textId="77777777" w:rsidR="00533532" w:rsidRPr="00B043CE" w:rsidRDefault="00533532">
      <w:pPr>
        <w:rPr>
          <w:rFonts w:ascii="Times New Roman" w:hAnsi="Times New Roman" w:cs="Times New Roman"/>
          <w:sz w:val="24"/>
          <w:szCs w:val="24"/>
        </w:rPr>
      </w:pPr>
      <w:bookmarkStart w:id="3" w:name="_Hlk231493053"/>
    </w:p>
    <w:tbl>
      <w:tblPr>
        <w:tblStyle w:val="TabeladeGrade4-nfase1"/>
        <w:tblW w:w="9638" w:type="dxa"/>
        <w:tblLook w:val="04A0" w:firstRow="1" w:lastRow="0" w:firstColumn="1" w:lastColumn="0" w:noHBand="0" w:noVBand="1"/>
      </w:tblPr>
      <w:tblGrid>
        <w:gridCol w:w="9638"/>
      </w:tblGrid>
      <w:tr w:rsidR="00533532" w:rsidRPr="00B043CE" w14:paraId="525356B4" w14:textId="77777777"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a. — Cocaína Base (Crack)</w:t>
            </w:r>
          </w:p>
        </w:tc>
      </w:tr>
      <w:tr w:rsidR="00533532" w:rsidRPr="00B043CE" w14:paraId="5E17B9F9" w14:textId="77777777"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CBDE1" w:rsidR="00533532" w:rsidRPr="002E3AB8" w:rsidRDefault="004A4051" w:rsidP="001D12DE">
            <w:pPr>
              <w:spacing w:before="80" w:after="80"/>
              <w:jc w:val="both"/>
              <w:rPr>
                <w:rFonts w:ascii="Times New Roman" w:hAnsi="Times New Roman" w:cs="Times New Roman"/>
                <w:b w:val="0"/>
                <w:bCs w:val="0"/>
                <w:sz w:val="24"/>
                <w:szCs w:val="24"/>
              </w:rPr>
            </w:pPr>
            <w:r w:rsidRPr="002E3AB8">
              <w:rPr>
                <w:rFonts w:ascii="Times New Roman" w:hAnsi="Times New Roman" w:cs="Times New Roman"/>
                <w:b w:val="0"/>
                <w:bCs w:val="0"/>
                <w:sz w:val="24"/>
                <w:szCs w:val="24"/>
              </w:rPr>
              <w:t xml:space="preserve">A análise </w:t>
            </w:r>
            <w:r w:rsidR="002E3AB8">
              <w:rPr>
                <w:rFonts w:ascii="Times New Roman" w:hAnsi="Times New Roman" w:cs="Times New Roman"/>
                <w:b w:val="0"/>
                <w:bCs w:val="0"/>
                <w:sz w:val="24"/>
                <w:szCs w:val="24"/>
              </w:rPr>
              <w:t>química</w:t>
            </w:r>
            <w:r w:rsidRPr="002E3AB8">
              <w:rPr>
                <w:rFonts w:ascii="Times New Roman" w:hAnsi="Times New Roman" w:cs="Times New Roman"/>
                <w:b w:val="0"/>
                <w:bCs w:val="0"/>
                <w:sz w:val="24"/>
                <w:szCs w:val="24"/>
              </w:rPr>
              <w:t xml:space="preserve"> </w:t>
            </w:r>
            <w:r w:rsidRPr="002E3AB8">
              <w:rPr>
                <w:rFonts w:ascii="Times New Roman" w:hAnsi="Times New Roman" w:cs="Times New Roman"/>
                <w:sz w:val="24"/>
                <w:szCs w:val="24"/>
              </w:rPr>
              <w:t>DETECTOU</w:t>
            </w:r>
            <w:r w:rsidRPr="002E3AB8">
              <w:rPr>
                <w:rFonts w:ascii="Times New Roman" w:hAnsi="Times New Roman" w:cs="Times New Roman"/>
                <w:b w:val="0"/>
                <w:bCs w:val="0"/>
                <w:sz w:val="24"/>
                <w:szCs w:val="24"/>
              </w:rPr>
              <w:t xml:space="preserve"> a presença de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 Benzoilmetilecgonina (C₁₇H₂₁NO₄, PM 303,4 g/mol), </w:t>
            </w:r>
            <w:r w:rsidR="002E3AB8">
              <w:rPr>
                <w:rFonts w:ascii="Times New Roman" w:hAnsi="Times New Roman" w:cs="Times New Roman"/>
                <w:b w:val="0"/>
                <w:bCs w:val="0"/>
                <w:sz w:val="24"/>
                <w:szCs w:val="24"/>
              </w:rPr>
              <w:t>no material sólido amarelo analisado</w:t>
            </w:r>
            <w:r w:rsidRPr="002E3AB8">
              <w:rPr>
                <w:rFonts w:ascii="Times New Roman" w:hAnsi="Times New Roman" w:cs="Times New Roman"/>
                <w:b w:val="0"/>
                <w:bCs w:val="0"/>
                <w:sz w:val="24"/>
                <w:szCs w:val="24"/>
              </w:rPr>
              <w:t>.</w:t>
            </w:r>
          </w:p>
          <w:p w14:paraId="36B1CBC3" w14:textId="77777777" w:rsidR="00533532" w:rsidRPr="002E3AB8" w:rsidRDefault="00533532" w:rsidP="001D12DE">
            <w:pPr>
              <w:rPr>
                <w:rFonts w:ascii="Times New Roman" w:hAnsi="Times New Roman" w:cs="Times New Roman"/>
                <w:b w:val="0"/>
                <w:bCs w:val="0"/>
                <w:sz w:val="24"/>
                <w:szCs w:val="24"/>
              </w:rPr>
            </w:pPr>
          </w:p>
          <w:p w14:paraId="5DE2BA73" w14:textId="7E6797CA" w:rsidR="00533532" w:rsidRPr="00B043CE" w:rsidRDefault="004A4051" w:rsidP="001D12DE">
            <w:pPr>
              <w:spacing w:before="80" w:after="80"/>
              <w:jc w:val="both"/>
              <w:rPr>
                <w:rFonts w:ascii="Times New Roman" w:hAnsi="Times New Roman" w:cs="Times New Roman"/>
                <w:sz w:val="24"/>
                <w:szCs w:val="24"/>
              </w:rPr>
            </w:pPr>
            <w:r w:rsidRPr="002E3AB8">
              <w:rPr>
                <w:rFonts w:ascii="Times New Roman" w:hAnsi="Times New Roman" w:cs="Times New Roman"/>
                <w:b w:val="0"/>
                <w:bCs w:val="0"/>
                <w:sz w:val="24"/>
                <w:szCs w:val="24"/>
              </w:rPr>
              <w:t xml:space="preserve">A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2E3AB8">
              <w:rPr>
                <w:rFonts w:ascii="Times New Roman" w:hAnsi="Times New Roman" w:cs="Times New Roman"/>
                <w:sz w:val="24"/>
                <w:szCs w:val="24"/>
              </w:rPr>
              <w:t>Lista F1</w:t>
            </w:r>
            <w:r w:rsidRPr="002E3AB8">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4F466A63" w14:textId="77777777" w:rsidR="00533532" w:rsidRPr="00B043CE" w:rsidRDefault="00533532">
      <w:pPr>
        <w:rPr>
          <w:rFonts w:ascii="Times New Roman" w:hAnsi="Times New Roman" w:cs="Times New Roman"/>
          <w:sz w:val="24"/>
          <w:szCs w:val="24"/>
        </w:rPr>
      </w:pPr>
    </w:p>
    <w:bookmarkEnd w:id="3"/>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[DEMANDA]</w:t>
            </w:r>
          </w:p>
        </w:tc>
      </w:tr>
      <w:tr w:rsidR="00533532" w:rsidRPr="00C371C9" w14:paraId="61DDE3B3"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1745866F" w:rsidR="00533532" w:rsidRPr="004126CB" w:rsidRDefault="004126CB"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126CB">
              <w:rPr>
                <w:rFonts w:ascii="Times New Roman" w:hAnsi="Times New Roman" w:cs="Times New Roman"/>
                <w:sz w:val="20"/>
                <w:szCs w:val="20"/>
              </w:rPr>
              <w:t>Ofício/TCO nº [DOCUMENTO]</w:t>
            </w:r>
          </w:p>
        </w:tc>
      </w:tr>
      <w:tr w:rsidR="00533532" w:rsidRPr="00C371C9" w14:paraId="5DC5C595"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CE274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100F2BD5" w:rsidR="00533532" w:rsidRPr="004126CB" w:rsidRDefault="004126CB"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126CB">
              <w:rPr>
                <w:rFonts w:ascii="Times New Roman" w:hAnsi="Times New Roman" w:cs="Times New Roman"/>
                <w:sz w:val="20"/>
                <w:szCs w:val="20"/>
              </w:rPr>
              <w:t>SUPERITENDENCIA DE POLICIA RODOVIARIA FEDERAL – DELEGACIA DE PARNAÍBA/PI</w:t>
            </w:r>
          </w:p>
        </w:tc>
      </w:tr>
      <w:tr w:rsidR="00533532" w:rsidRPr="00C371C9" w14:paraId="05DA498B"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[ENVOLVIDO] — CPF [CPF]</w:t>
            </w:r>
          </w:p>
        </w:tc>
      </w:tr>
      <w:tr w:rsidR="00533532" w:rsidRPr="00C371C9" w14:paraId="6E9390D9"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F9E1F49" w:rsidR="00533532" w:rsidRPr="004126CB" w:rsidRDefault="004126CB"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126CB">
              <w:rPr>
                <w:rFonts w:ascii="Times New Roman" w:hAnsi="Times New Roman" w:cs="Times New Roman"/>
                <w:sz w:val="20"/>
                <w:szCs w:val="20"/>
              </w:rPr>
              <w:t>SUPERITENDENCIA DE POLICIA RODOVIARIA FEDERAL – DELEGACIA DE PARNAÍBA/PI</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E2748"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E2748">
              <w:rPr>
                <w:rFonts w:ascii="Times New Roman" w:hAnsi="Times New Roman" w:cs="Times New Roman"/>
                <w:sz w:val="20"/>
                <w:szCs w:val="20"/>
              </w:rPr>
              <w:t>[ENV_ENTRADA]</w:t>
            </w:r>
          </w:p>
        </w:tc>
      </w:tr>
      <w:tr w:rsidR="00533532" w:rsidRPr="00C371C9" w14:paraId="5A6BB4DD"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25077BE"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Envelope pós-preliminar</w:t>
            </w:r>
          </w:p>
        </w:tc>
        <w:tc>
          <w:tcPr>
            <w:tcW w:w="6438" w:type="dxa"/>
          </w:tcPr>
          <w:p w14:paraId="0F8166C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B13DA9D"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5B603FDD"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Sólido amarelo (item a.)</w:t>
            </w:r>
          </w:p>
        </w:tc>
      </w:tr>
      <w:tr w:rsidR="00533532" w:rsidRPr="00C371C9" w14:paraId="0DBC3EA7" w14:textId="77777777" w:rsidTr="00CE2748">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6737095B"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Scott Modificado (Cat. C/SWGDRUG) + FTIR-ATR (Cat. A/SWGDRUG)</w:t>
            </w:r>
          </w:p>
        </w:tc>
      </w:tr>
      <w:tr w:rsidR="00533532" w:rsidRPr="00C371C9" w14:paraId="79723440"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E3C9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a.</w:t>
            </w:r>
          </w:p>
        </w:tc>
        <w:tc>
          <w:tcPr>
            <w:tcW w:w="6808" w:type="dxa"/>
          </w:tcPr>
          <w:p w14:paraId="3EBD2646" w14:textId="77BB87E8"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Cocaína Base (crack) — </w:t>
            </w:r>
            <w:r>
              <w:rPr>
                <w:rFonts w:ascii="Times New Roman" w:hAnsi="Times New Roman" w:cs="Times New Roman"/>
                <w:b/>
                <w:sz w:val="20"/>
                <w:szCs w:val="20"/>
              </w:rPr>
              <w:t>DETECTADA</w:t>
            </w:r>
          </w:p>
        </w:tc>
      </w:tr>
      <w:tr w:rsidR="008E12E4" w:rsidRPr="00C371C9" w14:paraId="5491899D" w14:textId="77777777" w:rsidTr="00CE2748">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8E12E4" w:rsidRPr="00C371C9" w:rsidRDefault="008E12E4" w:rsidP="00C371C9">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8E12E4" w:rsidRPr="00C371C9" w:rsidRDefault="008E12E4"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Análise forense: pesquisa de drogas vegetais interferentes de testes colorimétricos para identificação dos canabinoides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76491DA6"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1D12DE">
        <w:rPr>
          <w:rFonts w:ascii="Times New Roman" w:hAnsi="Times New Roman" w:cs="Times New Roman"/>
          <w:b/>
          <w:bCs/>
          <w:sz w:val="24"/>
          <w:szCs w:val="24"/>
        </w:rPr>
        <w:t>6</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sectPr w:rsidR="00533532" w:rsidRPr="004F5D08" w:rsidSect="00F07CCF">
      <w:headerReference w:type="default" r:id="rId12"/>
      <w:headerReference w:type="first" r:id="rId13"/>
      <w:footerReference w:type="first" r:id="rId14"/>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CF7F9" w14:textId="77777777" w:rsidR="00C9128B" w:rsidRDefault="00C9128B">
      <w:r>
        <w:separator/>
      </w:r>
    </w:p>
  </w:endnote>
  <w:endnote w:type="continuationSeparator" w:id="0">
    <w:p w14:paraId="7D47864B" w14:textId="77777777" w:rsidR="00C9128B" w:rsidRDefault="00C91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C8A3E" w14:textId="77777777" w:rsidR="00C9128B" w:rsidRDefault="00C9128B">
      <w:r>
        <w:separator/>
      </w:r>
    </w:p>
  </w:footnote>
  <w:footnote w:type="continuationSeparator" w:id="0">
    <w:p w14:paraId="1577C9C9" w14:textId="77777777" w:rsidR="00C9128B" w:rsidRDefault="00C9128B">
      <w:r>
        <w:continuationSeparator/>
      </w:r>
    </w:p>
  </w:footnote>
  <w:footnote w:id="1">
    <w:p w14:paraId="20FBD5BF" w14:textId="2265B812"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C8546D9" w14:textId="1DD3BBB8" w:rsidR="008E04B3" w:rsidRPr="00E61541" w:rsidRDefault="008E04B3" w:rsidP="007A6772">
      <w:pPr>
        <w:jc w:val="both"/>
        <w:rPr>
          <w:rFonts w:ascii="Times New Roman" w:hAnsi="Times New Roman" w:cs="Times New Roman"/>
          <w:sz w:val="16"/>
          <w:szCs w:val="16"/>
          <w:lang w:val="en-US"/>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INTERFERÊNCIA POR ADULTERANTES — TESTE DE SCOTT: O ensaio de Scott pode apresentar resultado presuntivo positivo na presença de adulterantes anestésicos locais (lidocaína, procaína, benzocaína)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rFonts w:ascii="Times New Roman" w:hAnsi="Times New Roman" w:cs="Times New Roman"/>
          <w:sz w:val="16"/>
          <w:szCs w:val="16"/>
        </w:rPr>
        <w:t xml:space="preserve"> </w:t>
      </w:r>
      <w:r w:rsidRPr="007A6772">
        <w:rPr>
          <w:rFonts w:ascii="Times New Roman" w:hAnsi="Times New Roman" w:cs="Times New Roman"/>
          <w:sz w:val="16"/>
          <w:szCs w:val="16"/>
        </w:rPr>
        <w:t xml:space="preserve">amida ~1660 cm⁻¹; cafeína: ν C=O imídico ~1700/1660 cm⁻¹), afastando qualquer hipótese de falso-positivo colorimétrico. Ref.: Conceição, V.N. et al. Química Nova, v. 37, n. 9, p. 1538–1544, 2014; Rodrigues, N.V.S. et al. </w:t>
      </w:r>
      <w:r w:rsidRPr="001D12DE">
        <w:rPr>
          <w:rFonts w:ascii="Times New Roman" w:hAnsi="Times New Roman" w:cs="Times New Roman"/>
          <w:sz w:val="16"/>
          <w:szCs w:val="16"/>
          <w:lang w:val="en-US"/>
        </w:rPr>
        <w:t xml:space="preserve">J. Braz. </w:t>
      </w:r>
      <w:r w:rsidRPr="00E61541">
        <w:rPr>
          <w:rFonts w:ascii="Times New Roman" w:hAnsi="Times New Roman" w:cs="Times New Roman"/>
          <w:sz w:val="16"/>
          <w:szCs w:val="16"/>
          <w:lang w:val="en-US"/>
        </w:rPr>
        <w:t>Chem. Soc., v. 24, n. 3, p. 507–517, 2013.</w:t>
      </w:r>
    </w:p>
  </w:footnote>
  <w:footnote w:id="3">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4">
    <w:p w14:paraId="2A1D8031" w14:textId="4D03EB9A" w:rsidR="00A05F41" w:rsidRPr="00C223E1" w:rsidRDefault="00A05F41" w:rsidP="00291605">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(ii)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(iii)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C9128B"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82568"/>
    <w:rsid w:val="000C2AA8"/>
    <w:rsid w:val="000F7D23"/>
    <w:rsid w:val="00170E58"/>
    <w:rsid w:val="001C73AF"/>
    <w:rsid w:val="001D12DE"/>
    <w:rsid w:val="002067E9"/>
    <w:rsid w:val="002307C0"/>
    <w:rsid w:val="00234E3F"/>
    <w:rsid w:val="00256A8B"/>
    <w:rsid w:val="00265B1A"/>
    <w:rsid w:val="00273609"/>
    <w:rsid w:val="00291605"/>
    <w:rsid w:val="00296B30"/>
    <w:rsid w:val="002E3AB8"/>
    <w:rsid w:val="00310CED"/>
    <w:rsid w:val="00314F35"/>
    <w:rsid w:val="003510F6"/>
    <w:rsid w:val="003974C7"/>
    <w:rsid w:val="003C180D"/>
    <w:rsid w:val="003C1AB1"/>
    <w:rsid w:val="003D599E"/>
    <w:rsid w:val="003E3F4C"/>
    <w:rsid w:val="004126CB"/>
    <w:rsid w:val="00421636"/>
    <w:rsid w:val="004622F5"/>
    <w:rsid w:val="0049780B"/>
    <w:rsid w:val="004A4051"/>
    <w:rsid w:val="004F5D08"/>
    <w:rsid w:val="00533532"/>
    <w:rsid w:val="00572A17"/>
    <w:rsid w:val="00584034"/>
    <w:rsid w:val="005961D0"/>
    <w:rsid w:val="0068091C"/>
    <w:rsid w:val="006F7F4D"/>
    <w:rsid w:val="007027B5"/>
    <w:rsid w:val="00772C5B"/>
    <w:rsid w:val="007A5982"/>
    <w:rsid w:val="007A6772"/>
    <w:rsid w:val="007B71B0"/>
    <w:rsid w:val="007D4CBD"/>
    <w:rsid w:val="00854A9C"/>
    <w:rsid w:val="00876222"/>
    <w:rsid w:val="00876B22"/>
    <w:rsid w:val="008E04B3"/>
    <w:rsid w:val="008E12E4"/>
    <w:rsid w:val="00900151"/>
    <w:rsid w:val="00922E5D"/>
    <w:rsid w:val="00956B3E"/>
    <w:rsid w:val="00966958"/>
    <w:rsid w:val="009F19ED"/>
    <w:rsid w:val="00A05F41"/>
    <w:rsid w:val="00AE7993"/>
    <w:rsid w:val="00B043CE"/>
    <w:rsid w:val="00B63C3B"/>
    <w:rsid w:val="00B674A3"/>
    <w:rsid w:val="00B75828"/>
    <w:rsid w:val="00BF5F05"/>
    <w:rsid w:val="00C223E1"/>
    <w:rsid w:val="00C238E6"/>
    <w:rsid w:val="00C371C9"/>
    <w:rsid w:val="00C41329"/>
    <w:rsid w:val="00C9128B"/>
    <w:rsid w:val="00CC7810"/>
    <w:rsid w:val="00CE1DD4"/>
    <w:rsid w:val="00CE2748"/>
    <w:rsid w:val="00CE519A"/>
    <w:rsid w:val="00D10E0A"/>
    <w:rsid w:val="00D75474"/>
    <w:rsid w:val="00DB2058"/>
    <w:rsid w:val="00E57B80"/>
    <w:rsid w:val="00E61541"/>
    <w:rsid w:val="00E6228B"/>
    <w:rsid w:val="00E74FC0"/>
    <w:rsid w:val="00EB22AF"/>
    <w:rsid w:val="00EF72B4"/>
    <w:rsid w:val="00F07CCF"/>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2276</Words>
  <Characters>12294</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5</cp:revision>
  <dcterms:created xsi:type="dcterms:W3CDTF">2026-06-05T15:16:00Z</dcterms:created>
  <dcterms:modified xsi:type="dcterms:W3CDTF">2026-06-05T15:29:00Z</dcterms:modified>
</cp:coreProperties>
</file>