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1F9DC2A4"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 xml:space="preserve">DEMANDA </w:t>
      </w:r>
      <w:r>
        <w:rPr>
          <w:rFonts w:ascii="Times New Roman" w:hAnsi="Times New Roman" w:cs="Times New Roman"/>
          <w:b/>
          <w:bCs/>
          <w:sz w:val="24"/>
          <w:szCs w:val="24"/>
        </w:rPr>
        <w:t>[DEMANDA]</w:t>
      </w:r>
    </w:p>
    <w:p w14:paraId="12813EE6" w14:textId="13B7FD96"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 xml:space="preserve">LAUDO PERICIAL nº. </w:t>
      </w:r>
      <w:r>
        <w:rPr>
          <w:rFonts w:ascii="Times New Roman" w:hAnsi="Times New Roman" w:cs="Times New Roman"/>
          <w:b/>
          <w:bCs/>
          <w:sz w:val="24"/>
          <w:szCs w:val="24"/>
        </w:rPr>
        <w:t>[LAUDO]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08</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1ª SECCIONAL PARNAÍBA – CENTRAL DE FLAGRANTES (AISP I, II E III) – PARNAÍBA/PI</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 xml:space="preserve"> / APF </w:t>
      </w:r>
      <w:r>
        <w:rPr>
          <w:rFonts w:ascii="Times New Roman" w:hAnsi="Times New Roman" w:cs="Times New Roman"/>
          <w:b/>
          <w:bCs/>
          <w:sz w:val="24"/>
          <w:szCs w:val="24"/>
        </w:rPr>
        <w:t>[APF]</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[DESTINO] – PARNAÍBA/PI</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4F743A43" w:rsidR="00533532" w:rsidRPr="00170E58" w:rsidRDefault="00A31FB7"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PI24365157</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OBJ00108326-82</w:t>
      </w:r>
      <w:r>
        <w:rPr>
          <w:rFonts w:ascii="Times New Roman" w:hAnsi="Times New Roman" w:cs="Times New Roman"/>
          <w:sz w:val="24"/>
          <w:szCs w:val="24"/>
        </w:rPr>
        <w:t>. O referido material foi encaminhado diretamente ao Setor de Química Forense para realização do exame definitivo, sem submissão a exame preliminar prévio, em observância à cadeia de custódia da prova prevista nos arts.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76"/>
        <w:gridCol w:w="2428"/>
        <w:gridCol w:w="1316"/>
        <w:gridCol w:w="1933"/>
        <w:gridCol w:w="3140"/>
      </w:tblGrid>
      <w:tr w:rsidR="00E74FC0" w:rsidRPr="00B674A3" w14:paraId="23E2D7EA" w14:textId="77777777" w:rsidTr="00C029B7">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1944"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261"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E74FC0" w:rsidRPr="008D1C30" w14:paraId="665E9F86"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6A07D30A" w14:textId="5A826C22" w:rsidR="00E74FC0" w:rsidRPr="008D1C30" w:rsidRDefault="00E74FC0" w:rsidP="00E74FC0">
            <w:pPr>
              <w:spacing w:before="80" w:after="80"/>
              <w:jc w:val="center"/>
              <w:rPr>
                <w:rFonts w:ascii="Times New Roman" w:hAnsi="Times New Roman" w:cs="Times New Roman"/>
                <w:b w:val="0"/>
                <w:bCs w:val="0"/>
                <w:sz w:val="20"/>
                <w:szCs w:val="20"/>
              </w:rPr>
            </w:pPr>
            <w:r>
              <w:rPr>
                <w:rFonts w:ascii="Times New Roman" w:hAnsi="Times New Roman" w:cs="Times New Roman"/>
                <w:sz w:val="20"/>
                <w:szCs w:val="20"/>
              </w:rPr>
              <w:t>c.</w:t>
            </w:r>
          </w:p>
        </w:tc>
        <w:tc>
          <w:tcPr>
            <w:tcW w:w="2290" w:type="dxa"/>
          </w:tcPr>
          <w:p w14:paraId="0160C9F7" w14:textId="592F0E78" w:rsidR="00E74FC0" w:rsidRPr="008D1C30" w:rsidRDefault="008D1C30" w:rsidP="005C7103">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[MASSA_MAC_BRUTA]</w:t>
            </w:r>
            <w:r>
              <w:rPr>
                <w:rFonts w:ascii="Times New Roman" w:hAnsi="Times New Roman" w:cs="Times New Roman"/>
                <w:sz w:val="20"/>
                <w:szCs w:val="20"/>
              </w:rPr>
              <w:t xml:space="preserve"> ([MASSA_MAC_EXT]) massa bruta</w:t>
            </w:r>
          </w:p>
        </w:tc>
        <w:tc>
          <w:tcPr>
            <w:tcW w:w="1316" w:type="dxa"/>
          </w:tcPr>
          <w:p w14:paraId="0A75EE93" w14:textId="72AC0145"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1944" w:type="dxa"/>
          </w:tcPr>
          <w:p w14:paraId="694E227D" w14:textId="34F7C422"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[ACOND_MAC]</w:t>
            </w:r>
          </w:p>
        </w:tc>
        <w:tc>
          <w:tcPr>
            <w:tcW w:w="3261" w:type="dxa"/>
          </w:tcPr>
          <w:p w14:paraId="758E123D" w14:textId="5A423CB8"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[ASPECTOS_MAC]</w:t>
            </w:r>
          </w:p>
        </w:tc>
      </w:tr>
    </w:tbl>
    <w:p w14:paraId="1C580BC5" w14:textId="77777777"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31E98A1D" w14:textId="77777777" w:rsidR="00776EA1" w:rsidRPr="00B674A3" w:rsidRDefault="00776EA1" w:rsidP="007B71B0">
      <w:pPr>
        <w:spacing w:before="80" w:after="80"/>
        <w:rPr>
          <w:rFonts w:ascii="Times New Roman" w:hAnsi="Times New Roman" w:cs="Times New Roman"/>
          <w:sz w:val="20"/>
          <w:szCs w:val="20"/>
        </w:rPr>
      </w:pPr>
    </w:p>
    <w:p w14:paraId="1EEF81BC" w14:textId="399B2696" w:rsidR="00B674A3" w:rsidRDefault="00040C41" w:rsidP="00040C41">
      <w:pPr>
        <w:spacing w:before="80" w:after="80"/>
        <w:jc w:val="center"/>
        <w:rPr>
          <w:rFonts w:ascii="Times New Roman" w:hAnsi="Times New Roman" w:cs="Times New Roman"/>
          <w:i/>
          <w:iCs/>
        </w:rPr>
      </w:pPr>
      <w:r>
        <w:rPr>
          <w:rFonts w:ascii="Times New Roman" w:hAnsi="Times New Roman" w:cs="Times New Roman"/>
          <w:i/>
          <w:iCs/>
          <w:noProof/>
        </w:rPr>
        <w:drawing>
          <wp:inline distT="0" distB="0" distL="0" distR="0" wp14:anchorId="0EBDEAA3" wp14:editId="43BA53F2">
            <wp:extent cx="5980427" cy="4364437"/>
            <wp:effectExtent l="19050" t="19050" r="20955" b="17145"/>
            <wp:docPr id="1" name="Imagem 1" descr="C:\Users\labnm\Downloads\WhatsApp Image 2026-05-27 at 07.48.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bnm\Downloads\WhatsApp Image 2026-05-27 at 07.48.58.jpe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8837" cy="4370574"/>
                    </a:xfrm>
                    <a:prstGeom prst="rect">
                      <a:avLst/>
                    </a:prstGeom>
                    <a:noFill/>
                    <a:ln>
                      <a:solidFill>
                        <a:schemeClr val="accent5">
                          <a:lumMod val="20000"/>
                          <a:lumOff val="80000"/>
                        </a:schemeClr>
                      </a:solidFill>
                    </a:ln>
                  </pic:spPr>
                </pic:pic>
              </a:graphicData>
            </a:graphic>
          </wp:inline>
        </w:drawing>
      </w:r>
    </w:p>
    <w:p w14:paraId="78C8357E" w14:textId="5C37BD28"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 xml:space="preserve">Figura 1. Vista geral do material encaminhado a exame. Material custodiado provisoriamente no LAB-NRPC/PHB. </w:t>
      </w:r>
    </w:p>
    <w:p w14:paraId="33B91411" w14:textId="77777777" w:rsidR="00533532" w:rsidRPr="007B71B0" w:rsidRDefault="00533532" w:rsidP="007B71B0">
      <w:pPr>
        <w:rPr>
          <w:rFonts w:ascii="Times New Roman" w:hAnsi="Times New Roman" w:cs="Times New Roman"/>
          <w:sz w:val="24"/>
          <w:szCs w:val="24"/>
        </w:rPr>
      </w:pPr>
    </w:p>
    <w:p w14:paraId="5E439C3A" w14:textId="2E00C580"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4C1601C4"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r>
        <w:rPr>
          <w:rStyle w:val="Refdenotaderodap"/>
          <w:rFonts w:ascii="Times New Roman" w:hAnsi="Times New Roman" w:cs="Times New Roman"/>
          <w:sz w:val="24"/>
          <w:szCs w:val="24"/>
        </w:rPr>
        <w:footnoteReference w:id="2"/>
      </w:r>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619C25B5" w14:textId="6F3F5AF5" w:rsidR="0049780B" w:rsidRPr="0049780B" w:rsidRDefault="0049780B" w:rsidP="0049780B">
      <w:pPr>
        <w:spacing w:before="140" w:after="80"/>
        <w:rPr>
          <w:color w:val="0070C0"/>
        </w:rPr>
      </w:pPr>
      <w:r>
        <w:rPr>
          <w:rFonts w:ascii="Times New Roman" w:eastAsia="Times New Roman" w:hAnsi="Times New Roman" w:cs="Times New Roman"/>
          <w:b/>
          <w:bCs/>
          <w:color w:val="0070C0"/>
          <w:sz w:val="24"/>
          <w:szCs w:val="24"/>
        </w:rPr>
        <w:t>2.3.   Ensaio Colorimétrico Presuntivo — Reação com o Sal Fast Blue B</w:t>
      </w:r>
    </w:p>
    <w:p w14:paraId="1F9743EE" w14:textId="77777777" w:rsidR="007A6B49"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Frações representativas foram submetidas ao ensaio colorimétrico com sal Fast Blue B (cloreto de di-</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 xml:space="preserve">-anisidina tetrazolio)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canabinoides fenólicos. O método baseia-se na formação de uma ligação azo (–N=N–) altamente conjugada entre o sal diazônio e o grupamento fenólico do Δ9-THC, produzindo coloração vermelho-púrpura/avermelhada característica na fase hexânica. </w:t>
      </w:r>
    </w:p>
    <w:p w14:paraId="212CE877" w14:textId="77777777" w:rsidR="007A6B49"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p.a. </w:t>
      </w:r>
    </w:p>
    <w:p w14:paraId="40099A03" w14:textId="77777777" w:rsidR="007A6B49" w:rsidRDefault="0049780B" w:rsidP="00E6228B">
      <w:pPr>
        <w:spacing w:before="80" w:after="80"/>
        <w:jc w:val="both"/>
      </w:pPr>
      <w:r>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Fase 1 — fração em solução salina com Fast Blue B (1 mg/mL), aguardar 2 minutos; Fase 2 — adição de n-hexano e agitação; coloração vermelho-avermelhada intensa e estável na fase orgânica constitui resultado presuntivo positivo.</w:t>
      </w:r>
      <w:r>
        <w:t xml:space="preserve"> </w:t>
      </w:r>
    </w:p>
    <w:p w14:paraId="62EF4B1D" w14:textId="4B6638EF" w:rsidR="0049780B"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2BA30C7B" w14:textId="77777777" w:rsidR="007A6B49" w:rsidRDefault="007A6B49" w:rsidP="00E6228B">
      <w:pPr>
        <w:spacing w:before="80" w:after="80"/>
        <w:jc w:val="both"/>
      </w:pPr>
    </w:p>
    <w:p w14:paraId="146534A0" w14:textId="77777777" w:rsidR="00256A8B" w:rsidRDefault="00256A8B" w:rsidP="00256A8B">
      <w:pPr>
        <w:pStyle w:val="PargrafodaLista"/>
        <w:jc w:val="center"/>
        <w:rPr>
          <w:rFonts w:eastAsia="Times New Roman" w:cs="Times New Roman"/>
        </w:rPr>
      </w:pPr>
      <w:r>
        <w:rPr>
          <w:rFonts w:eastAsia="Times New Roman" w:cs="Times New Roman"/>
          <w:noProof/>
        </w:rPr>
        <w:drawing>
          <wp:inline distT="0" distB="0" distL="0" distR="0" wp14:anchorId="73FB04B4" wp14:editId="7FF067F8">
            <wp:extent cx="3710574" cy="1487170"/>
            <wp:effectExtent l="0" t="0" r="444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9A0AC34" w14:textId="77777777" w:rsidR="00256A8B" w:rsidRPr="00256A8B" w:rsidRDefault="00256A8B" w:rsidP="00256A8B">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hexânico.</w:t>
      </w:r>
    </w:p>
    <w:p w14:paraId="112187DB" w14:textId="77777777" w:rsidR="0049780B" w:rsidRPr="00E6228B" w:rsidRDefault="0049780B" w:rsidP="00296B30">
      <w:pPr>
        <w:pStyle w:val="SemEspaamento"/>
      </w:pPr>
    </w:p>
    <w:p w14:paraId="4E659AC0" w14:textId="21BD2528" w:rsidR="0049780B" w:rsidRPr="00CE1DD4" w:rsidRDefault="0049780B" w:rsidP="00CE1DD4">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2.4.   Análise Macroscópico-Botânica</w:t>
      </w:r>
    </w:p>
    <w:p w14:paraId="1198D454" w14:textId="55F46E41" w:rsidR="00CE1DD4" w:rsidRPr="00CE1DD4" w:rsidRDefault="00CE1DD4" w:rsidP="00CE1DD4">
      <w:pPr>
        <w:pStyle w:val="SemEspaamento"/>
        <w:jc w:val="both"/>
        <w:rPr>
          <w:rFonts w:ascii="Times New Roman" w:hAnsi="Times New Roman" w:cs="Times New Roman"/>
          <w:sz w:val="24"/>
          <w:szCs w:val="24"/>
        </w:rPr>
      </w:pPr>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3"/>
      </w:r>
      <w:r>
        <w:rPr>
          <w:rFonts w:ascii="Times New Roman" w:hAnsi="Times New Roman" w:cs="Times New Roman"/>
          <w:sz w:val="24"/>
          <w:szCs w:val="24"/>
        </w:rPr>
        <w:t>.</w:t>
      </w:r>
    </w:p>
    <w:p w14:paraId="2F164C6B" w14:textId="4F0A00F6" w:rsidR="00CE1DD4" w:rsidRDefault="00CE1DD4" w:rsidP="00CE1DD4">
      <w:pPr>
        <w:pStyle w:val="font-claude-response-body"/>
        <w:jc w:val="both"/>
      </w:pPr>
      <w:r>
        <w:t>A análise foi conduzida com avaliação macroscópica direta e sob lupa (10×), com a finalidade de pesquisar os seguintes caracteres morfológicos relevantes:</w:t>
      </w:r>
    </w:p>
    <w:p w14:paraId="057E7DAA"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terpenoides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60A79F99"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terpênico da espécie (mirceno, β-cariofileno), persistente mesmo após ressecamento em virtude da baixa pressão de vapor desses compostos a temperatura ambiente.</w:t>
      </w:r>
    </w:p>
    <w:p w14:paraId="19A29D4E"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0E798252" w14:textId="012FA28C"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lastRenderedPageBreak/>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6689341E"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venação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8A142CF" w14:textId="270E1738"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compatível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1D8CC5DC" w14:textId="6A641BF4" w:rsidR="00CE1DD4" w:rsidRDefault="00CE1DD4" w:rsidP="00CE1DD4">
      <w:pPr>
        <w:pStyle w:val="font-claude-response-body"/>
        <w:jc w:val="both"/>
      </w:pPr>
      <w:r>
        <w:t xml:space="preserve">O exame macroscópico-botânico foi empregado como elemento de identificação integrado, não de forma isolada, mas em convergência com o resultado colorimétrico presuntivo (Fast Blue B) e a confirmação instrumental por FTIR-ATR. </w:t>
      </w:r>
    </w:p>
    <w:p w14:paraId="4A48F3EC" w14:textId="78BCDFDB" w:rsidR="00CE1DD4" w:rsidRPr="007B71B0" w:rsidRDefault="00CE1DD4"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2.5.   Espectroscopia no Infravermelho por Transformada de Fourier (FTIR-ATR)</w:t>
      </w:r>
    </w:p>
    <w:p w14:paraId="1E23F3DF" w14:textId="16620FB9" w:rsidR="007A6B49" w:rsidRDefault="007A6B49" w:rsidP="007A6B4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44F790B" w14:textId="77777777" w:rsidR="007A6B49" w:rsidRPr="007B71B0" w:rsidRDefault="007A6B49" w:rsidP="007A6B49">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Espectrômetro </w:t>
      </w:r>
      <w:r>
        <w:rPr>
          <w:rStyle w:val="Forte"/>
          <w:rFonts w:ascii="Times New Roman" w:hAnsi="Times New Roman" w:cs="Times New Roman"/>
          <w:b w:val="0"/>
          <w:bCs w:val="0"/>
          <w:i/>
          <w:iCs/>
          <w:sz w:val="24"/>
          <w:szCs w:val="24"/>
        </w:rPr>
        <w:t>Bruker Alpha II</w:t>
      </w:r>
      <w:r>
        <w:rPr>
          <w:rFonts w:ascii="Times New Roman" w:hAnsi="Times New Roman" w:cs="Times New Roman"/>
          <w:sz w:val="24"/>
          <w:szCs w:val="24"/>
        </w:rPr>
        <w:t>, equipado com acessório de Reflectância Total Atenuada (ATR) com cristal de diamante, operando na região espectral de 4000 a 650 cm⁻¹, com 16 varreduras (</w:t>
      </w:r>
      <w:r>
        <w:rPr>
          <w:rStyle w:val="nfase"/>
          <w:rFonts w:ascii="Times New Roman" w:hAnsi="Times New Roman" w:cs="Times New Roman"/>
          <w:sz w:val="24"/>
          <w:szCs w:val="24"/>
        </w:rPr>
        <w:t>scans</w:t>
      </w:r>
      <w:r>
        <w:rPr>
          <w:rFonts w:ascii="Times New Roman" w:hAnsi="Times New Roman" w:cs="Times New Roman"/>
          <w:sz w:val="24"/>
          <w:szCs w:val="24"/>
        </w:rPr>
        <w:t xml:space="preserve">) e resolução de 4 cm⁻¹. O processamento e a identificação espectral foram realizados pelo software </w:t>
      </w:r>
      <w:r>
        <w:rPr>
          <w:rStyle w:val="nfase"/>
          <w:rFonts w:ascii="Times New Roman" w:hAnsi="Times New Roman" w:cs="Times New Roman"/>
          <w:sz w:val="24"/>
          <w:szCs w:val="24"/>
        </w:rPr>
        <w:t>OPUS DrugID Wizard</w:t>
      </w:r>
      <w:r>
        <w:rPr>
          <w:rFonts w:ascii="Times New Roman" w:hAnsi="Times New Roman" w:cs="Times New Roman"/>
          <w:sz w:val="24"/>
          <w:szCs w:val="24"/>
        </w:rPr>
        <w:t xml:space="preserve"> (Bruker Optik GmbH).</w:t>
      </w:r>
    </w:p>
    <w:p w14:paraId="377CB615" w14:textId="31D8A3F7" w:rsidR="00256A8B" w:rsidRDefault="004F641C" w:rsidP="004F641C">
      <w:pPr>
        <w:spacing w:before="80" w:after="80"/>
        <w:jc w:val="both"/>
        <w:rPr>
          <w:rFonts w:ascii="Times New Roman" w:hAnsi="Times New Roman" w:cs="Times New Roman"/>
          <w:sz w:val="24"/>
          <w:szCs w:val="24"/>
        </w:rPr>
      </w:pPr>
      <w:r>
        <w:rPr>
          <w:noProof/>
        </w:rPr>
        <w:drawing>
          <wp:anchor distT="0" distB="0" distL="114300" distR="114300" simplePos="0" relativeHeight="251659264" behindDoc="0" locked="0" layoutInCell="1" allowOverlap="1" wp14:anchorId="6F6C15E3" wp14:editId="7A08EEB3">
            <wp:simplePos x="0" y="0"/>
            <wp:positionH relativeFrom="margin">
              <wp:align>center</wp:align>
            </wp:positionH>
            <wp:positionV relativeFrom="paragraph">
              <wp:posOffset>1444625</wp:posOffset>
            </wp:positionV>
            <wp:extent cx="3960495" cy="2238375"/>
            <wp:effectExtent l="19050" t="19050" r="2095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495" cy="22383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 (tolerância ±4 cm⁻¹).</w:t>
      </w:r>
      <w:r>
        <w:rPr>
          <w:rStyle w:val="Refdenotaderodap"/>
          <w:rFonts w:ascii="Times New Roman" w:hAnsi="Times New Roman" w:cs="Times New Roman"/>
          <w:sz w:val="24"/>
          <w:szCs w:val="24"/>
        </w:rPr>
        <w:footnoteReference w:id="4"/>
      </w:r>
    </w:p>
    <w:p w14:paraId="5F17080E" w14:textId="77777777" w:rsidR="007A6B49" w:rsidRDefault="007A6B49" w:rsidP="004F641C">
      <w:pPr>
        <w:spacing w:before="80" w:after="80"/>
        <w:jc w:val="both"/>
        <w:rPr>
          <w:rFonts w:ascii="Times New Roman" w:hAnsi="Times New Roman" w:cs="Times New Roman"/>
          <w:i/>
          <w:iCs/>
          <w:sz w:val="20"/>
          <w:szCs w:val="20"/>
        </w:rPr>
      </w:pP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33FFAE0C" w14:textId="6845BEEA" w:rsidR="004622F5" w:rsidRPr="004622F5" w:rsidRDefault="004622F5" w:rsidP="004622F5">
      <w:pPr>
        <w:spacing w:before="140" w:after="80"/>
        <w:rPr>
          <w:color w:val="0070C0"/>
          <w:sz w:val="24"/>
          <w:szCs w:val="24"/>
        </w:rPr>
      </w:pPr>
      <w:r>
        <w:rPr>
          <w:rFonts w:ascii="Times New Roman" w:eastAsia="Times New Roman" w:hAnsi="Times New Roman" w:cs="Times New Roman"/>
          <w:b/>
          <w:bCs/>
          <w:color w:val="0070C0"/>
          <w:sz w:val="24"/>
          <w:szCs w:val="24"/>
        </w:rPr>
        <w:t>3.1.   Análises por Fast Blue B + Análise Botânica + FTIR-ATR — Item c.</w:t>
      </w:r>
    </w:p>
    <w:p w14:paraId="4AC7A512" w14:textId="77777777" w:rsidR="004F3C53" w:rsidRPr="004F3C53" w:rsidRDefault="004622F5" w:rsidP="00CA7C8E">
      <w:pPr>
        <w:pStyle w:val="PargrafodaLista"/>
        <w:spacing w:before="80" w:after="80"/>
        <w:jc w:val="both"/>
        <w:rPr>
          <w:sz w:val="24"/>
          <w:szCs w:val="24"/>
        </w:rPr>
      </w:pPr>
      <w:r>
        <w:rPr>
          <w:rFonts w:ascii="Times New Roman" w:eastAsia="Times New Roman" w:hAnsi="Times New Roman" w:cs="Times New Roman"/>
          <w:b/>
          <w:bCs/>
          <w:color w:val="1F3864" w:themeColor="accent1" w:themeShade="80"/>
          <w:sz w:val="24"/>
          <w:szCs w:val="24"/>
        </w:rPr>
        <w:lastRenderedPageBreak/>
        <w:t>Fast Blue B:</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as amostras apresentaram </w:t>
      </w:r>
      <w:r>
        <w:rPr>
          <w:rFonts w:ascii="Times New Roman" w:eastAsia="Times New Roman" w:hAnsi="Times New Roman" w:cs="Times New Roman"/>
          <w:b/>
          <w:bCs/>
          <w:sz w:val="24"/>
          <w:szCs w:val="24"/>
        </w:rPr>
        <w:t>PRESUNTIVO POSITIVO para canabinoide fenólico</w:t>
      </w:r>
      <w:r>
        <w:rPr>
          <w:rFonts w:ascii="Times New Roman" w:eastAsia="Times New Roman" w:hAnsi="Times New Roman" w:cs="Times New Roman"/>
          <w:sz w:val="24"/>
          <w:szCs w:val="24"/>
        </w:rPr>
        <w:t>, evidenciado pela formação de coloração vermelho-avermelhada intensa e estável na fase orgânica hexânica, compatível com produto de acoplamento azoaromático do Δ9-THC.</w:t>
      </w:r>
    </w:p>
    <w:p w14:paraId="71ECE5B8" w14:textId="77777777" w:rsidR="004F3C53" w:rsidRPr="004F3C53" w:rsidRDefault="004622F5" w:rsidP="00CA7C8E">
      <w:pPr>
        <w:pStyle w:val="PargrafodaLista"/>
        <w:spacing w:before="80" w:after="80"/>
        <w:jc w:val="both"/>
        <w:rPr>
          <w:sz w:val="24"/>
          <w:szCs w:val="24"/>
        </w:rPr>
      </w:pPr>
      <w:r>
        <w:rPr>
          <w:rFonts w:ascii="Times New Roman" w:eastAsia="Times New Roman" w:hAnsi="Times New Roman" w:cs="Times New Roman"/>
          <w:b/>
          <w:bCs/>
          <w:color w:val="1F3864" w:themeColor="accent1" w:themeShade="80"/>
          <w:sz w:val="24"/>
          <w:szCs w:val="24"/>
        </w:rPr>
        <w:t>Análise macroscópico-botânica:</w:t>
      </w:r>
      <w:r>
        <w:rPr>
          <w:rFonts w:ascii="Times New Roman" w:eastAsia="Times New Roman" w:hAnsi="Times New Roman" w:cs="Times New Roman"/>
          <w:b/>
          <w:bCs/>
          <w:sz w:val="24"/>
          <w:szCs w:val="24"/>
        </w:rPr>
        <w:t xml:space="preserve"> </w:t>
      </w:r>
      <w:r>
        <w:rPr>
          <w:rFonts w:ascii="Times New Roman" w:eastAsia="Times New Roman" w:hAnsi="Times New Roman" w:cs="Times New Roman"/>
          <w:bCs/>
          <w:sz w:val="24"/>
          <w:szCs w:val="24"/>
        </w:rPr>
        <w:t>a</w:t>
      </w:r>
      <w:r>
        <w:rPr>
          <w:rFonts w:ascii="Times New Roman" w:hAnsi="Times New Roman" w:cs="Times New Roman"/>
          <w:sz w:val="24"/>
          <w:szCs w:val="24"/>
        </w:rPr>
        <w:t xml:space="preserve">presentou, no grau de preservação compatível com material vegetal ressecado e/ou prensado, caracteres Morfológicos consistentes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w:t>
      </w:r>
      <w:r>
        <w:rPr>
          <w:rFonts w:ascii="Times New Roman" w:hAnsi="Times New Roman" w:cs="Times New Roman"/>
          <w:b/>
          <w:sz w:val="24"/>
          <w:szCs w:val="24"/>
        </w:rPr>
        <w:t>(i)</w:t>
      </w:r>
      <w:r>
        <w:rPr>
          <w:rFonts w:ascii="Times New Roman" w:hAnsi="Times New Roman" w:cs="Times New Roman"/>
          <w:sz w:val="24"/>
          <w:szCs w:val="24"/>
        </w:rPr>
        <w:t xml:space="preserve"> fragmentos foliares com padrão de serrilhado assimétrico identificável sob lupa; </w:t>
      </w:r>
      <w:r>
        <w:rPr>
          <w:rFonts w:ascii="Times New Roman" w:hAnsi="Times New Roman" w:cs="Times New Roman"/>
          <w:b/>
          <w:sz w:val="24"/>
          <w:szCs w:val="24"/>
        </w:rPr>
        <w:t>(ii)</w:t>
      </w:r>
      <w:r>
        <w:rPr>
          <w:rFonts w:ascii="Times New Roman" w:hAnsi="Times New Roman" w:cs="Times New Roman"/>
          <w:sz w:val="24"/>
          <w:szCs w:val="24"/>
        </w:rPr>
        <w:t xml:space="preserve"> estruturas compatíveis com tricomas glandulares colapsados e/ou depósito resinoso aderido à superfície; </w:t>
      </w:r>
      <w:r>
        <w:rPr>
          <w:rFonts w:ascii="Times New Roman" w:hAnsi="Times New Roman" w:cs="Times New Roman"/>
          <w:b/>
          <w:sz w:val="24"/>
          <w:szCs w:val="24"/>
        </w:rPr>
        <w:t>(iii)</w:t>
      </w:r>
      <w:r>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e não compatível com espécies adulterantes conhecidas.</w:t>
      </w:r>
    </w:p>
    <w:p w14:paraId="669E79EB" w14:textId="3C8C6AE0" w:rsidR="004622F5" w:rsidRPr="004F3C53" w:rsidRDefault="004622F5" w:rsidP="00CA7C8E">
      <w:pPr>
        <w:pStyle w:val="PargrafodaLista"/>
        <w:spacing w:before="80" w:after="80"/>
        <w:jc w:val="both"/>
        <w:rPr>
          <w:sz w:val="24"/>
          <w:szCs w:val="24"/>
        </w:rPr>
      </w:pPr>
      <w:r>
        <w:rPr>
          <w:rFonts w:ascii="Times New Roman" w:eastAsia="Times New Roman" w:hAnsi="Times New Roman" w:cs="Times New Roman"/>
          <w:b/>
          <w:color w:val="1F3864" w:themeColor="accent1" w:themeShade="80"/>
          <w:sz w:val="24"/>
          <w:szCs w:val="24"/>
        </w:rPr>
        <w:t>FTIR-ATR</w:t>
      </w:r>
      <w:r>
        <w:rPr>
          <w:rFonts w:ascii="Times New Roman" w:eastAsia="Times New Roman" w:hAnsi="Times New Roman" w:cs="Times New Roman"/>
          <w:color w:val="1F3864" w:themeColor="accent1" w:themeShade="80"/>
          <w:sz w:val="24"/>
          <w:szCs w:val="24"/>
        </w:rPr>
        <w:t>:</w:t>
      </w:r>
      <w:r>
        <w:rPr>
          <w:rFonts w:ascii="Times New Roman" w:eastAsia="Times New Roman" w:hAnsi="Times New Roman" w:cs="Times New Roman"/>
          <w:sz w:val="24"/>
          <w:szCs w:val="24"/>
        </w:rPr>
        <w:t xml:space="preserve"> Na análise por FTIR-ATR, o espectro obtido apresentou compatibilidade com o padrão de </w:t>
      </w:r>
      <w:r>
        <w:rPr>
          <w:rFonts w:ascii="Times New Roman" w:eastAsia="Times New Roman" w:hAnsi="Times New Roman" w:cs="Times New Roman"/>
          <w:b/>
          <w:bCs/>
          <w:sz w:val="24"/>
          <w:szCs w:val="24"/>
        </w:rPr>
        <w:t>Δ9-Tetrahidrocanabinol (Δ9-THC)</w:t>
      </w:r>
      <w:r>
        <w:rPr>
          <w:rFonts w:ascii="Times New Roman" w:eastAsia="Times New Roman" w:hAnsi="Times New Roman" w:cs="Times New Roman"/>
          <w:sz w:val="24"/>
          <w:szCs w:val="24"/>
        </w:rPr>
        <w:t xml:space="preserve"> em biblioteca de referência consultada por meio do software </w:t>
      </w:r>
      <w:r>
        <w:rPr>
          <w:rFonts w:ascii="Times New Roman" w:eastAsia="Times New Roman" w:hAnsi="Times New Roman" w:cs="Times New Roman"/>
          <w:i/>
          <w:iCs/>
          <w:sz w:val="24"/>
          <w:szCs w:val="24"/>
        </w:rPr>
        <w:t>OPUS DrugID Wizard</w:t>
      </w:r>
      <w:r>
        <w:rPr>
          <w:rFonts w:ascii="Times New Roman" w:eastAsia="Times New Roman" w:hAnsi="Times New Roman" w:cs="Times New Roman"/>
          <w:sz w:val="24"/>
          <w:szCs w:val="24"/>
        </w:rPr>
        <w:t xml:space="preserve">. Observou-se concordância com bandas espectrais diagnósticas atribuíveis ao </w:t>
      </w:r>
      <w:r>
        <w:rPr>
          <w:rFonts w:ascii="Times New Roman" w:eastAsia="Times New Roman" w:hAnsi="Times New Roman" w:cs="Times New Roman"/>
          <w:b/>
          <w:bCs/>
          <w:sz w:val="24"/>
          <w:szCs w:val="24"/>
        </w:rPr>
        <w:t>Δ9-THC</w:t>
      </w:r>
      <w:r>
        <w:rPr>
          <w:rFonts w:ascii="Times New Roman" w:eastAsia="Times New Roman" w:hAnsi="Times New Roman" w:cs="Times New Roman"/>
          <w:sz w:val="24"/>
          <w:szCs w:val="24"/>
        </w:rPr>
        <w:t xml:space="preserve">, nome IUPAC: </w:t>
      </w:r>
      <w:r>
        <w:rPr>
          <w:rFonts w:ascii="Times New Roman" w:eastAsia="Times New Roman" w:hAnsi="Times New Roman" w:cs="Times New Roman"/>
          <w:i/>
          <w:iCs/>
          <w:sz w:val="24"/>
          <w:szCs w:val="24"/>
        </w:rPr>
        <w:t>(-)-(6aR,10aR)-6,6,9-trimetil-3-pentil-6a,7,8,10a-tetrahidro-6H-benzo[c]piran-1-ol</w:t>
      </w:r>
      <w:r>
        <w:rPr>
          <w:rFonts w:ascii="Times New Roman" w:eastAsia="Times New Roman" w:hAnsi="Times New Roman" w:cs="Times New Roman"/>
          <w:sz w:val="24"/>
          <w:szCs w:val="24"/>
        </w:rPr>
        <w:t>. Fórmula molecular: C₂₁H₃₀O₂. Peso molecular: 314,4 g/mol.</w:t>
      </w:r>
    </w:p>
    <w:tbl>
      <w:tblPr>
        <w:tblStyle w:val="TabeladeGrade4-nfase1"/>
        <w:tblW w:w="9639" w:type="dxa"/>
        <w:tblLook w:val="04A0" w:firstRow="1" w:lastRow="0" w:firstColumn="1" w:lastColumn="0" w:noHBand="0" w:noVBand="1"/>
      </w:tblPr>
      <w:tblGrid>
        <w:gridCol w:w="1950"/>
        <w:gridCol w:w="1700"/>
        <w:gridCol w:w="3138"/>
        <w:gridCol w:w="2851"/>
      </w:tblGrid>
      <w:tr w:rsidR="00BF5F05" w:rsidRPr="00BF5F05" w14:paraId="55D77457" w14:textId="77777777" w:rsidTr="00C029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B736201" w14:textId="77777777" w:rsidR="004622F5" w:rsidRPr="00BF5F05" w:rsidRDefault="004622F5" w:rsidP="001C73AF">
            <w:pPr>
              <w:spacing w:before="40" w:after="40"/>
              <w:jc w:val="center"/>
            </w:pPr>
            <w:r>
              <w:rPr>
                <w:rFonts w:ascii="Times New Roman" w:eastAsia="Times New Roman" w:hAnsi="Times New Roman" w:cs="Times New Roman"/>
                <w:sz w:val="20"/>
                <w:szCs w:val="20"/>
              </w:rPr>
              <w:t>Região (cm⁻¹)</w:t>
            </w:r>
          </w:p>
        </w:tc>
        <w:tc>
          <w:tcPr>
            <w:tcW w:w="1700" w:type="dxa"/>
          </w:tcPr>
          <w:p w14:paraId="1483B63A"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1BF29E46"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45AE96AE"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4622F5" w14:paraId="29C60471" w14:textId="77777777" w:rsidTr="00C029B7">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4597135C" w14:textId="77777777" w:rsidR="004622F5" w:rsidRDefault="004622F5" w:rsidP="001C73AF">
            <w:pPr>
              <w:spacing w:before="80" w:after="80"/>
              <w:jc w:val="center"/>
            </w:pPr>
            <w:r>
              <w:rPr>
                <w:rFonts w:ascii="Times New Roman" w:eastAsia="Times New Roman" w:hAnsi="Times New Roman" w:cs="Times New Roman"/>
                <w:sz w:val="20"/>
                <w:szCs w:val="20"/>
              </w:rPr>
              <w:t>~3500–3200</w:t>
            </w:r>
          </w:p>
        </w:tc>
        <w:tc>
          <w:tcPr>
            <w:tcW w:w="1700" w:type="dxa"/>
          </w:tcPr>
          <w:p w14:paraId="4FCE7D86"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3FB253FF"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O–H fenólico — BANDA DIAGNÓSTICA PRIMÁRIA: ausente em canabinoides sem OH fenólico livre (THCA, CBC)</w:t>
            </w:r>
          </w:p>
        </w:tc>
        <w:tc>
          <w:tcPr>
            <w:tcW w:w="2851" w:type="dxa"/>
          </w:tcPr>
          <w:p w14:paraId="374D4111"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4622F5" w14:paraId="6432A6EE"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2CA51FAB" w14:textId="77777777" w:rsidR="004622F5" w:rsidRDefault="004622F5" w:rsidP="001C73AF">
            <w:pPr>
              <w:spacing w:before="80" w:after="80"/>
              <w:jc w:val="center"/>
            </w:pPr>
            <w:r>
              <w:rPr>
                <w:rFonts w:ascii="Times New Roman" w:eastAsia="Times New Roman" w:hAnsi="Times New Roman" w:cs="Times New Roman"/>
                <w:sz w:val="20"/>
                <w:szCs w:val="20"/>
              </w:rPr>
              <w:t>~1605–1580</w:t>
            </w:r>
          </w:p>
        </w:tc>
        <w:tc>
          <w:tcPr>
            <w:tcW w:w="1700" w:type="dxa"/>
          </w:tcPr>
          <w:p w14:paraId="55BCBAF0"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445C5E88"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C=C aromático — anel resorcinólico</w:t>
            </w:r>
          </w:p>
        </w:tc>
        <w:tc>
          <w:tcPr>
            <w:tcW w:w="2851" w:type="dxa"/>
          </w:tcPr>
          <w:p w14:paraId="26A35CFA"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4622F5" w14:paraId="02E6EE99"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063AD693" w14:textId="77777777" w:rsidR="004622F5" w:rsidRDefault="004622F5" w:rsidP="001C73AF">
            <w:pPr>
              <w:spacing w:before="80" w:after="80"/>
              <w:jc w:val="center"/>
            </w:pPr>
            <w:r>
              <w:rPr>
                <w:rFonts w:ascii="Times New Roman" w:eastAsia="Times New Roman" w:hAnsi="Times New Roman" w:cs="Times New Roman"/>
                <w:sz w:val="20"/>
                <w:szCs w:val="20"/>
              </w:rPr>
              <w:t>1500–1450</w:t>
            </w:r>
          </w:p>
        </w:tc>
        <w:tc>
          <w:tcPr>
            <w:tcW w:w="1700" w:type="dxa"/>
          </w:tcPr>
          <w:p w14:paraId="1A467E4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1D67181A"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17145AAA"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366BA9B2"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705C17F4" w14:textId="77777777" w:rsidR="004622F5" w:rsidRDefault="004622F5" w:rsidP="001C73AF">
            <w:pPr>
              <w:spacing w:before="80" w:after="80"/>
              <w:jc w:val="center"/>
            </w:pPr>
            <w:r>
              <w:rPr>
                <w:rFonts w:ascii="Times New Roman" w:eastAsia="Times New Roman" w:hAnsi="Times New Roman" w:cs="Times New Roman"/>
                <w:sz w:val="20"/>
                <w:szCs w:val="20"/>
              </w:rPr>
              <w:t>1250–1200</w:t>
            </w:r>
          </w:p>
        </w:tc>
        <w:tc>
          <w:tcPr>
            <w:tcW w:w="1700" w:type="dxa"/>
          </w:tcPr>
          <w:p w14:paraId="180FEA93"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35A6C86B"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A63817E"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4622F5" w14:paraId="55D52105"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5B59F338" w14:textId="77777777" w:rsidR="004622F5" w:rsidRDefault="004622F5" w:rsidP="001C73AF">
            <w:pPr>
              <w:spacing w:before="80" w:after="80"/>
              <w:jc w:val="center"/>
            </w:pPr>
            <w:r>
              <w:rPr>
                <w:rFonts w:ascii="Times New Roman" w:eastAsia="Times New Roman" w:hAnsi="Times New Roman" w:cs="Times New Roman"/>
                <w:sz w:val="20"/>
                <w:szCs w:val="20"/>
              </w:rPr>
              <w:t>1100–1050</w:t>
            </w:r>
          </w:p>
        </w:tc>
        <w:tc>
          <w:tcPr>
            <w:tcW w:w="1700" w:type="dxa"/>
          </w:tcPr>
          <w:p w14:paraId="24D4983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0AE04CE7"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C–O–C éter cíclico — ponte de oxigênio do anel cromeno; diferencia THC de fenóis simples</w:t>
            </w:r>
          </w:p>
        </w:tc>
        <w:tc>
          <w:tcPr>
            <w:tcW w:w="2851" w:type="dxa"/>
          </w:tcPr>
          <w:p w14:paraId="59F2E201"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4622F5" w14:paraId="12952FA2"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6C60A2CB" w14:textId="77777777" w:rsidR="004622F5" w:rsidRDefault="004622F5" w:rsidP="001C73AF">
            <w:pPr>
              <w:spacing w:before="80" w:after="80"/>
              <w:jc w:val="center"/>
            </w:pPr>
            <w:r>
              <w:rPr>
                <w:rFonts w:ascii="Times New Roman" w:eastAsia="Times New Roman" w:hAnsi="Times New Roman" w:cs="Times New Roman"/>
                <w:sz w:val="20"/>
                <w:szCs w:val="20"/>
              </w:rPr>
              <w:t>3000–2850</w:t>
            </w:r>
          </w:p>
        </w:tc>
        <w:tc>
          <w:tcPr>
            <w:tcW w:w="1700" w:type="dxa"/>
          </w:tcPr>
          <w:p w14:paraId="525227C0"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4CBE112"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C–H alifático — cadeia alquil lateral (pentil)</w:t>
            </w:r>
          </w:p>
        </w:tc>
        <w:tc>
          <w:tcPr>
            <w:tcW w:w="2851" w:type="dxa"/>
          </w:tcPr>
          <w:p w14:paraId="0C862DBC"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4622F5" w14:paraId="0532F0E6" w14:textId="77777777" w:rsidTr="00C029B7">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00512562" w14:textId="77777777" w:rsidR="004622F5" w:rsidRDefault="004622F5" w:rsidP="001C73AF">
            <w:pPr>
              <w:spacing w:before="80" w:after="80"/>
              <w:jc w:val="center"/>
            </w:pPr>
            <w:r>
              <w:rPr>
                <w:rFonts w:ascii="Times New Roman" w:eastAsia="Times New Roman" w:hAnsi="Times New Roman" w:cs="Times New Roman"/>
                <w:sz w:val="20"/>
                <w:szCs w:val="20"/>
              </w:rPr>
              <w:t>~3030</w:t>
            </w:r>
          </w:p>
        </w:tc>
        <w:tc>
          <w:tcPr>
            <w:tcW w:w="1700" w:type="dxa"/>
          </w:tcPr>
          <w:p w14:paraId="4413D7AD"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4845CEBB"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3918BDB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016338F5"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0E504BC0" w14:textId="77777777" w:rsidR="004622F5" w:rsidRDefault="004622F5" w:rsidP="001C73AF">
            <w:pPr>
              <w:spacing w:before="80" w:after="80"/>
              <w:jc w:val="center"/>
            </w:pPr>
            <w:r>
              <w:rPr>
                <w:rFonts w:ascii="Times New Roman" w:eastAsia="Times New Roman" w:hAnsi="Times New Roman" w:cs="Times New Roman"/>
                <w:sz w:val="20"/>
                <w:szCs w:val="20"/>
              </w:rPr>
              <w:t>~1375 e ~1460</w:t>
            </w:r>
          </w:p>
        </w:tc>
        <w:tc>
          <w:tcPr>
            <w:tcW w:w="1700" w:type="dxa"/>
          </w:tcPr>
          <w:p w14:paraId="3976ADF6"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18FC8C76"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δ CH₃ simétrico e antissimétrico — grupos metila gem-dimetil (C6) e isopropenila (C9)</w:t>
            </w:r>
          </w:p>
        </w:tc>
        <w:tc>
          <w:tcPr>
            <w:tcW w:w="2851" w:type="dxa"/>
          </w:tcPr>
          <w:p w14:paraId="2BA55965"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2414C84" w14:textId="0693E125" w:rsidR="004622F5" w:rsidRDefault="004622F5" w:rsidP="00C029B7">
      <w:pPr>
        <w:spacing w:before="80" w:after="80"/>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Tabela 5. Bandas espectrais diagnósticas — FTIR-ATR — Δ9-THC. Bandas destacadas (ν O–H fenólico + ν C–O fenólico + ν C–O–C éter cíclico) são altamente específicas para Δ9-THC. Adaptado de UNODC (2009) e Moffat et al. (2011).</w:t>
      </w:r>
    </w:p>
    <w:p w14:paraId="2E7DFE0E" w14:textId="0D05CB47" w:rsidR="00273609" w:rsidRDefault="00273609" w:rsidP="004622F5">
      <w:pPr>
        <w:spacing w:before="80" w:after="80" w:line="276" w:lineRule="auto"/>
        <w:jc w:val="center"/>
      </w:pPr>
      <w:r>
        <w:rPr>
          <w:noProof/>
        </w:rPr>
        <w:drawing>
          <wp:inline distT="0" distB="0" distL="0" distR="0" wp14:anchorId="435C51FE" wp14:editId="25534A2F">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5CDBFE46" w14:textId="51C67CA7" w:rsidR="00E57B80" w:rsidRPr="00E57B80" w:rsidRDefault="00E57B80" w:rsidP="00E57B80">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2D6210B7" w14:textId="3971802E" w:rsidR="00533532" w:rsidRPr="00B043CE" w:rsidRDefault="004A405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5"/>
      </w:r>
    </w:p>
    <w:p w14:paraId="262808D6" w14:textId="6F41EAF5" w:rsidR="00533532" w:rsidRPr="00B043CE" w:rsidRDefault="004A4051" w:rsidP="00C029B7">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370582F3" w14:textId="77777777" w:rsidR="00876B22" w:rsidRPr="00B043CE" w:rsidRDefault="00876B22" w:rsidP="00876B22">
      <w:pPr>
        <w:rPr>
          <w:sz w:val="24"/>
          <w:szCs w:val="24"/>
        </w:rPr>
      </w:pPr>
    </w:p>
    <w:tbl>
      <w:tblPr>
        <w:tblStyle w:val="TabeladeGrade4-nfase1"/>
        <w:tblW w:w="9638" w:type="dxa"/>
        <w:tblLook w:val="04A0" w:firstRow="1" w:lastRow="0" w:firstColumn="1" w:lastColumn="0" w:noHBand="0" w:noVBand="1"/>
      </w:tblPr>
      <w:tblGrid>
        <w:gridCol w:w="9638"/>
      </w:tblGrid>
      <w:tr w:rsidR="00876B22" w:rsidRPr="00B043CE" w14:paraId="0FD78581"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97D8801" w14:textId="5C1B71D6" w:rsidR="00876B22" w:rsidRPr="00B043CE" w:rsidRDefault="00E57B80" w:rsidP="004F641C">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876B22" w:rsidRPr="00B043CE" w14:paraId="360132CF"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4B3563E6" w14:textId="71E14897" w:rsidR="00876B22" w:rsidRPr="00505BB0" w:rsidRDefault="00876B22" w:rsidP="009F19ED">
            <w:pPr>
              <w:spacing w:before="80" w:after="80"/>
              <w:jc w:val="both"/>
              <w:rPr>
                <w:b w:val="0"/>
                <w:bCs w:val="0"/>
                <w:sz w:val="24"/>
                <w:szCs w:val="24"/>
              </w:rPr>
            </w:pPr>
            <w:r>
              <w:rPr>
                <w:rFonts w:ascii="Times New Roman" w:eastAsia="Times New Roman" w:hAnsi="Times New Roman" w:cs="Times New Roman"/>
                <w:b w:val="0"/>
                <w:bCs w:val="0"/>
                <w:sz w:val="24"/>
                <w:szCs w:val="24"/>
              </w:rPr>
              <w:t xml:space="preserve">A análise realizada </w:t>
            </w:r>
            <w:r>
              <w:rPr>
                <w:rFonts w:ascii="Times New Roman" w:eastAsia="Times New Roman" w:hAnsi="Times New Roman" w:cs="Times New Roman"/>
                <w:sz w:val="24"/>
                <w:szCs w:val="24"/>
              </w:rPr>
              <w:t>DETECTOU</w:t>
            </w:r>
            <w:r>
              <w:rPr>
                <w:rFonts w:ascii="Times New Roman" w:eastAsia="Times New Roman" w:hAnsi="Times New Roman" w:cs="Times New Roman"/>
                <w:b w:val="0"/>
                <w:bCs w:val="0"/>
                <w:sz w:val="24"/>
                <w:szCs w:val="24"/>
              </w:rPr>
              <w:t xml:space="preserve"> a presença de </w:t>
            </w:r>
            <w:r>
              <w:rPr>
                <w:rFonts w:ascii="Times New Roman" w:eastAsia="Times New Roman" w:hAnsi="Times New Roman" w:cs="Times New Roman"/>
                <w:sz w:val="24"/>
                <w:szCs w:val="24"/>
              </w:rPr>
              <w:t>Δ9-Tetrahidrocanabinol (Δ9-THC)</w:t>
            </w:r>
            <w:r>
              <w:rPr>
                <w:rFonts w:ascii="Times New Roman" w:eastAsia="Times New Roman" w:hAnsi="Times New Roman" w:cs="Times New Roman"/>
                <w:b w:val="0"/>
                <w:bCs w:val="0"/>
                <w:sz w:val="24"/>
                <w:szCs w:val="24"/>
              </w:rPr>
              <w:t xml:space="preserve"> (C₂₁H₃₀O₂; PM 314,4 g/mol) no material vegetal examinado.</w:t>
            </w:r>
          </w:p>
          <w:p w14:paraId="74BF3EA2"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40341DFF" w14:textId="754F0D54" w:rsidR="00E57B80" w:rsidRPr="00505BB0" w:rsidRDefault="00876B22" w:rsidP="009F19ED">
            <w:pPr>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Pr>
                <w:rFonts w:ascii="Times New Roman" w:eastAsia="Times New Roman" w:hAnsi="Times New Roman" w:cs="Times New Roman"/>
                <w:b w:val="0"/>
                <w:bCs w:val="0"/>
                <w:i/>
                <w:sz w:val="24"/>
                <w:szCs w:val="24"/>
              </w:rPr>
              <w:t>Cannabis sp.</w:t>
            </w:r>
            <w:r>
              <w:rPr>
                <w:rFonts w:ascii="Times New Roman" w:eastAsia="Times New Roman" w:hAnsi="Times New Roman" w:cs="Times New Roman"/>
                <w:b w:val="0"/>
                <w:bCs w:val="0"/>
                <w:sz w:val="24"/>
                <w:szCs w:val="24"/>
              </w:rPr>
              <w:t xml:space="preserve"> </w:t>
            </w:r>
          </w:p>
          <w:p w14:paraId="19798D38"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3A825B9C" w14:textId="67D2B513" w:rsidR="00876B22" w:rsidRPr="00505BB0" w:rsidRDefault="00876B22" w:rsidP="009F19ED">
            <w:pPr>
              <w:spacing w:before="80" w:after="80"/>
              <w:jc w:val="both"/>
              <w:rPr>
                <w:b w:val="0"/>
                <w:bCs w:val="0"/>
                <w:sz w:val="24"/>
                <w:szCs w:val="24"/>
              </w:rPr>
            </w:pPr>
            <w:r>
              <w:rPr>
                <w:rFonts w:ascii="Times New Roman" w:eastAsia="Times New Roman" w:hAnsi="Times New Roman" w:cs="Times New Roman"/>
                <w:b w:val="0"/>
                <w:bCs w:val="0"/>
                <w:sz w:val="24"/>
                <w:szCs w:val="24"/>
              </w:rPr>
              <w:t xml:space="preserve">O </w:t>
            </w:r>
            <w:r>
              <w:rPr>
                <w:rFonts w:ascii="Times New Roman" w:eastAsia="Times New Roman" w:hAnsi="Times New Roman" w:cs="Times New Roman"/>
                <w:sz w:val="24"/>
                <w:szCs w:val="24"/>
              </w:rPr>
              <w:t>Δ9-THC</w:t>
            </w:r>
            <w:r>
              <w:rPr>
                <w:rFonts w:ascii="Times New Roman" w:eastAsia="Times New Roman" w:hAnsi="Times New Roman" w:cs="Times New Roman"/>
                <w:b w:val="0"/>
                <w:bCs w:val="0"/>
                <w:sz w:val="24"/>
                <w:szCs w:val="24"/>
              </w:rPr>
              <w:t xml:space="preserve"> possui propriedades entorpecentes/psicotrópicas reconhecidas, encontrando-se relacionado na </w:t>
            </w:r>
            <w:r>
              <w:rPr>
                <w:rFonts w:ascii="Times New Roman" w:eastAsia="Times New Roman" w:hAnsi="Times New Roman" w:cs="Times New Roman"/>
                <w:sz w:val="24"/>
                <w:szCs w:val="24"/>
              </w:rPr>
              <w:t>Lista F2</w:t>
            </w:r>
            <w:r>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Pr>
                <w:rFonts w:ascii="Times New Roman" w:hAnsi="Times New Roman" w:cs="Times New Roman"/>
                <w:b/>
                <w:sz w:val="20"/>
                <w:szCs w:val="20"/>
              </w:rPr>
              <w:t>[DEMANDA]</w:t>
            </w:r>
          </w:p>
        </w:tc>
      </w:tr>
      <w:tr w:rsidR="00533532" w:rsidRPr="00C371C9" w14:paraId="61DDE3B3"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505BB0">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1ª SECCIONAL PARNAÍBA – CENTRAL DE FLAGRANTES (AISP I, II E III) – PARNAÍBA/PI</w:t>
            </w:r>
          </w:p>
        </w:tc>
      </w:tr>
      <w:tr w:rsidR="00533532" w:rsidRPr="00C371C9" w14:paraId="05DA498B"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 / APF [APF]</w:t>
            </w:r>
          </w:p>
        </w:tc>
      </w:tr>
      <w:tr w:rsidR="00533532" w:rsidRPr="00C371C9" w14:paraId="2F22C11C"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Pr>
                <w:rFonts w:ascii="Times New Roman" w:hAnsi="Times New Roman" w:cs="Times New Roman"/>
                <w:b/>
                <w:sz w:val="20"/>
                <w:szCs w:val="20"/>
              </w:rPr>
              <w:t>[ENVOLVIDO] — CPF [CPF]</w:t>
            </w:r>
          </w:p>
        </w:tc>
      </w:tr>
      <w:tr w:rsidR="00533532" w:rsidRPr="00C371C9" w14:paraId="6E9390D9"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 – PARNAÍBA/PI</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2DD65203" w:rsidR="00533532" w:rsidRPr="00C371C9" w:rsidRDefault="007C6A57"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4E627707" w:rsidR="00533532" w:rsidRPr="00C371C9" w:rsidRDefault="007C6A57"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3256"/>
        <w:gridCol w:w="6382"/>
      </w:tblGrid>
      <w:tr w:rsidR="00533532" w:rsidRPr="00C371C9" w14:paraId="108B790C" w14:textId="77777777" w:rsidTr="008D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382"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8D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382" w:type="dxa"/>
          </w:tcPr>
          <w:p w14:paraId="51533C3C" w14:textId="56BA10FD" w:rsidR="00533532" w:rsidRPr="00C371C9" w:rsidRDefault="004A4051" w:rsidP="005C7103">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(item c.)</w:t>
            </w:r>
          </w:p>
        </w:tc>
      </w:tr>
      <w:tr w:rsidR="00533532" w:rsidRPr="00C371C9" w14:paraId="0DBC3EA7" w14:textId="77777777" w:rsidTr="008D1C30">
        <w:tc>
          <w:tcPr>
            <w:cnfStyle w:val="001000000000" w:firstRow="0" w:lastRow="0" w:firstColumn="1" w:lastColumn="0" w:oddVBand="0" w:evenVBand="0" w:oddHBand="0" w:evenHBand="0" w:firstRowFirstColumn="0" w:firstRowLastColumn="0" w:lastRowFirstColumn="0" w:lastRowLastColumn="0"/>
            <w:tcW w:w="3256"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382" w:type="dxa"/>
          </w:tcPr>
          <w:p w14:paraId="532D5900" w14:textId="3B2AAF06"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Fast Blue B (Cat. </w:t>
            </w:r>
            <w:r>
              <w:rPr>
                <w:rFonts w:ascii="Times New Roman" w:hAnsi="Times New Roman" w:cs="Times New Roman"/>
                <w:sz w:val="20"/>
                <w:szCs w:val="20"/>
              </w:rPr>
              <w:t>C/SWGDRUG) + Análise Botânica + FTIR-ATR (Cat. A/SWGDRUG)</w:t>
            </w:r>
          </w:p>
        </w:tc>
      </w:tr>
      <w:tr w:rsidR="00505BB0" w:rsidRPr="00C371C9" w14:paraId="28C3BE62" w14:textId="77777777" w:rsidTr="008D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BB5F50" w14:textId="7F0C28AE" w:rsidR="00505BB0" w:rsidRPr="00C371C9" w:rsidRDefault="00505BB0" w:rsidP="00505BB0">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382" w:type="dxa"/>
          </w:tcPr>
          <w:p w14:paraId="1B445D80" w14:textId="7EF5D4F6" w:rsidR="00505BB0" w:rsidRPr="00C371C9" w:rsidRDefault="00505BB0" w:rsidP="00505BB0">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505BB0" w:rsidRPr="00C371C9" w14:paraId="5491899D" w14:textId="77777777" w:rsidTr="008D1C30">
        <w:tc>
          <w:tcPr>
            <w:cnfStyle w:val="001000000000" w:firstRow="0" w:lastRow="0" w:firstColumn="1" w:lastColumn="0" w:oddVBand="0" w:evenVBand="0" w:oddHBand="0" w:evenHBand="0" w:firstRowFirstColumn="0" w:firstRowLastColumn="0" w:lastRowFirstColumn="0" w:lastRowLastColumn="0"/>
            <w:tcW w:w="3256" w:type="dxa"/>
          </w:tcPr>
          <w:p w14:paraId="00D8949D" w14:textId="77777777" w:rsidR="00505BB0" w:rsidRPr="00C371C9" w:rsidRDefault="00505BB0" w:rsidP="00505BB0">
            <w:pPr>
              <w:spacing w:before="40" w:after="40"/>
              <w:rPr>
                <w:rFonts w:ascii="Times New Roman" w:hAnsi="Times New Roman" w:cs="Times New Roman"/>
                <w:sz w:val="20"/>
                <w:szCs w:val="20"/>
              </w:rPr>
            </w:pPr>
            <w:r>
              <w:rPr>
                <w:rFonts w:ascii="Times New Roman" w:hAnsi="Times New Roman" w:cs="Times New Roman"/>
                <w:sz w:val="20"/>
                <w:szCs w:val="20"/>
              </w:rPr>
              <w:lastRenderedPageBreak/>
              <w:t>Data de conclusão</w:t>
            </w:r>
          </w:p>
        </w:tc>
        <w:tc>
          <w:tcPr>
            <w:tcW w:w="6382" w:type="dxa"/>
          </w:tcPr>
          <w:p w14:paraId="0FCA0795" w14:textId="77777777" w:rsidR="00505BB0" w:rsidRPr="00C371C9" w:rsidRDefault="00505BB0" w:rsidP="00505BB0">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3049C966"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220EE2">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0250A01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3"/>
      <w:headerReference w:type="first" r:id="rId14"/>
      <w:footerReference w:type="first" r:id="rId15"/>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415586" w14:textId="77777777" w:rsidR="001B7635" w:rsidRDefault="001B7635">
      <w:r>
        <w:separator/>
      </w:r>
    </w:p>
  </w:endnote>
  <w:endnote w:type="continuationSeparator" w:id="0">
    <w:p w14:paraId="38D0E378" w14:textId="77777777" w:rsidR="001B7635" w:rsidRDefault="001B76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1A8B41" w14:textId="77777777" w:rsidR="001B7635" w:rsidRDefault="001B7635">
      <w:r>
        <w:separator/>
      </w:r>
    </w:p>
  </w:footnote>
  <w:footnote w:type="continuationSeparator" w:id="0">
    <w:p w14:paraId="3830D479" w14:textId="77777777" w:rsidR="001B7635" w:rsidRDefault="001B7635">
      <w:r>
        <w:continuationSeparator/>
      </w:r>
    </w:p>
  </w:footnote>
  <w:footnote w:id="1">
    <w:p w14:paraId="20FBD5BF" w14:textId="21794BEC"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034E943F" w14:textId="2BD853F4" w:rsidR="007A6B49" w:rsidRPr="00F755A6" w:rsidRDefault="007A6B49" w:rsidP="007A6B49">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Cannabis 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Pr>
          <w:rFonts w:ascii="Times New Roman" w:eastAsia="Times New Roman" w:hAnsi="Times New Roman" w:cs="Times New Roman"/>
          <w:sz w:val="16"/>
          <w:szCs w:val="16"/>
        </w:rPr>
        <w:t>.</w:t>
      </w:r>
    </w:p>
  </w:footnote>
  <w:footnote w:id="3">
    <w:p w14:paraId="1D368C55" w14:textId="5869B57B" w:rsidR="007A6B49" w:rsidRPr="007A6B49" w:rsidRDefault="007A6B49" w:rsidP="007A6B49">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4">
    <w:p w14:paraId="6B9E798E" w14:textId="7C545F55" w:rsidR="008E04B3" w:rsidRPr="007A6772"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6B5878">
        <w:rPr>
          <w:rFonts w:ascii="Times New Roman" w:hAnsi="Times New Roman" w:cs="Times New Roman"/>
          <w:sz w:val="16"/>
          <w:szCs w:val="16"/>
          <w:lang w:val="en-US"/>
        </w:rPr>
        <w:t xml:space="preserve"> </w:t>
      </w:r>
      <w:r w:rsidRPr="007A6772">
        <w:rPr>
          <w:rFonts w:ascii="Times New Roman" w:hAnsi="Times New Roman" w:cs="Times New Roman"/>
          <w:sz w:val="16"/>
          <w:szCs w:val="16"/>
          <w:lang w:val="en-US"/>
        </w:rPr>
        <w:t xml:space="preserve">Ref.: Smith, B.C. Infrared Spectral Interpretation: A Systematic Approach. </w:t>
      </w:r>
      <w:r w:rsidRPr="007A6772">
        <w:rPr>
          <w:rFonts w:ascii="Times New Roman" w:hAnsi="Times New Roman" w:cs="Times New Roman"/>
          <w:sz w:val="16"/>
          <w:szCs w:val="16"/>
        </w:rPr>
        <w:t>CRC Press, 1999. SENASP/MJ. POP nº 9.09. Brasília: MJSP, 2024.</w:t>
      </w:r>
    </w:p>
  </w:footnote>
  <w:footnote w:id="5">
    <w:p w14:paraId="524F2E24" w14:textId="236805AC" w:rsidR="00C223E1" w:rsidRPr="00C223E1" w:rsidRDefault="00C223E1" w:rsidP="00C223E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1351B1C5" w:rsidR="008E04B3" w:rsidRPr="00B674A3" w:rsidRDefault="008E04B3" w:rsidP="00B674A3">
    <w:pPr>
      <w:jc w:val="center"/>
      <w:rPr>
        <w:rFonts w:ascii="Times New Roman" w:hAnsi="Times New Roman" w:cs="Times New Roman"/>
        <w:sz w:val="20"/>
        <w:szCs w:val="20"/>
      </w:rPr>
    </w:pPr>
    <w:r w:rsidRPr="00776EA1">
      <w:rPr>
        <w:rFonts w:ascii="Times New Roman" w:hAnsi="Times New Roman" w:cs="Times New Roman"/>
        <w:b/>
        <w:sz w:val="20"/>
        <w:szCs w:val="20"/>
      </w:rPr>
      <w:t>NRPC/PHB</w:t>
    </w:r>
    <w:r w:rsidRPr="00B674A3">
      <w:rPr>
        <w:rFonts w:ascii="Times New Roman" w:hAnsi="Times New Roman" w:cs="Times New Roman"/>
        <w:sz w:val="20"/>
        <w:szCs w:val="20"/>
      </w:rPr>
      <w:t xml:space="preserve"> — Setor de Química Forense   |   </w:t>
    </w:r>
    <w:r w:rsidRPr="00220EE2">
      <w:rPr>
        <w:rFonts w:ascii="Times New Roman" w:hAnsi="Times New Roman" w:cs="Times New Roman"/>
        <w:bCs/>
        <w:sz w:val="20"/>
        <w:szCs w:val="20"/>
      </w:rPr>
      <w:t>Demanda</w:t>
    </w:r>
    <w:r w:rsidRPr="00776EA1">
      <w:rPr>
        <w:rFonts w:ascii="Times New Roman" w:hAnsi="Times New Roman" w:cs="Times New Roman"/>
        <w:b/>
        <w:sz w:val="20"/>
        <w:szCs w:val="20"/>
      </w:rPr>
      <w:t xml:space="preserve"> </w:t>
    </w:r>
    <w:r w:rsidR="00220EE2" w:rsidRPr="00220EE2">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PAGE</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r w:rsidRPr="00B674A3">
      <w:rPr>
        <w:rFonts w:ascii="Times New Roman" w:hAnsi="Times New Roman" w:cs="Times New Roman"/>
        <w:sz w:val="20"/>
        <w:szCs w:val="20"/>
      </w:rPr>
      <w:t xml:space="preserve"> de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NUMPAGES</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1B7635"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BB459E9"/>
    <w:multiLevelType w:val="multilevel"/>
    <w:tmpl w:val="5FDE602E"/>
    <w:lvl w:ilvl="0">
      <w:start w:val="3"/>
      <w:numFmt w:val="decimal"/>
      <w:lvlText w:val="%1."/>
      <w:lvlJc w:val="left"/>
      <w:pPr>
        <w:ind w:left="540" w:hanging="540"/>
      </w:pPr>
      <w:rPr>
        <w:rFonts w:ascii="Times New Roman" w:eastAsia="Times New Roman" w:hAnsi="Times New Roman" w:cs="Times New Roman" w:hint="default"/>
        <w:b/>
      </w:rPr>
    </w:lvl>
    <w:lvl w:ilvl="1">
      <w:start w:val="2"/>
      <w:numFmt w:val="decimal"/>
      <w:lvlText w:val="%1.%2."/>
      <w:lvlJc w:val="left"/>
      <w:pPr>
        <w:ind w:left="720" w:hanging="720"/>
      </w:pPr>
      <w:rPr>
        <w:rFonts w:ascii="Times New Roman" w:eastAsia="Times New Roman" w:hAnsi="Times New Roman" w:cs="Times New Roman" w:hint="default"/>
        <w:b/>
      </w:rPr>
    </w:lvl>
    <w:lvl w:ilvl="2">
      <w:start w:val="1"/>
      <w:numFmt w:val="decimal"/>
      <w:lvlText w:val="%1.%2.%3."/>
      <w:lvlJc w:val="left"/>
      <w:pPr>
        <w:ind w:left="720" w:hanging="720"/>
      </w:pPr>
      <w:rPr>
        <w:rFonts w:ascii="Times New Roman" w:eastAsia="Times New Roman" w:hAnsi="Times New Roman" w:cs="Times New Roman" w:hint="default"/>
        <w:b/>
        <w:color w:val="1F3864" w:themeColor="accent1" w:themeShade="80"/>
      </w:rPr>
    </w:lvl>
    <w:lvl w:ilvl="3">
      <w:start w:val="1"/>
      <w:numFmt w:val="decimal"/>
      <w:lvlText w:val="%1.%2.%3.%4."/>
      <w:lvlJc w:val="left"/>
      <w:pPr>
        <w:ind w:left="1080" w:hanging="1080"/>
      </w:pPr>
      <w:rPr>
        <w:rFonts w:ascii="Times New Roman" w:eastAsia="Times New Roman" w:hAnsi="Times New Roman" w:cs="Times New Roman" w:hint="default"/>
        <w:b/>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8"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7"/>
    <w:lvlOverride w:ilvl="0">
      <w:startOverride w:val="1"/>
    </w:lvlOverride>
  </w:num>
  <w:num w:numId="2">
    <w:abstractNumId w:val="0"/>
  </w:num>
  <w:num w:numId="3">
    <w:abstractNumId w:val="5"/>
  </w:num>
  <w:num w:numId="4">
    <w:abstractNumId w:val="8"/>
  </w:num>
  <w:num w:numId="5">
    <w:abstractNumId w:val="3"/>
  </w:num>
  <w:num w:numId="6">
    <w:abstractNumId w:val="4"/>
  </w:num>
  <w:num w:numId="7">
    <w:abstractNumId w:val="2"/>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0C41"/>
    <w:rsid w:val="00046E70"/>
    <w:rsid w:val="00082568"/>
    <w:rsid w:val="000C2AA8"/>
    <w:rsid w:val="000F7D23"/>
    <w:rsid w:val="000F7ECB"/>
    <w:rsid w:val="00111DEB"/>
    <w:rsid w:val="001462B0"/>
    <w:rsid w:val="00170E58"/>
    <w:rsid w:val="001850BD"/>
    <w:rsid w:val="001B7635"/>
    <w:rsid w:val="001C73AF"/>
    <w:rsid w:val="00220EE2"/>
    <w:rsid w:val="002307C0"/>
    <w:rsid w:val="00256A8B"/>
    <w:rsid w:val="00265B1A"/>
    <w:rsid w:val="00273609"/>
    <w:rsid w:val="00296B30"/>
    <w:rsid w:val="00314F35"/>
    <w:rsid w:val="003510F6"/>
    <w:rsid w:val="003974C7"/>
    <w:rsid w:val="003C180D"/>
    <w:rsid w:val="003D599E"/>
    <w:rsid w:val="00421636"/>
    <w:rsid w:val="004622F5"/>
    <w:rsid w:val="0049780B"/>
    <w:rsid w:val="004A4051"/>
    <w:rsid w:val="004F3C53"/>
    <w:rsid w:val="004F5D08"/>
    <w:rsid w:val="004F641C"/>
    <w:rsid w:val="00505BB0"/>
    <w:rsid w:val="00533532"/>
    <w:rsid w:val="00572A17"/>
    <w:rsid w:val="00584034"/>
    <w:rsid w:val="005B3B26"/>
    <w:rsid w:val="005C7103"/>
    <w:rsid w:val="006B5878"/>
    <w:rsid w:val="006D4070"/>
    <w:rsid w:val="006F7F4D"/>
    <w:rsid w:val="007027B5"/>
    <w:rsid w:val="00772C5B"/>
    <w:rsid w:val="00776EA1"/>
    <w:rsid w:val="007A5982"/>
    <w:rsid w:val="007A6772"/>
    <w:rsid w:val="007A6B49"/>
    <w:rsid w:val="007B71B0"/>
    <w:rsid w:val="007C6A57"/>
    <w:rsid w:val="007E28A7"/>
    <w:rsid w:val="00830883"/>
    <w:rsid w:val="00854A9C"/>
    <w:rsid w:val="00876B22"/>
    <w:rsid w:val="008D1C30"/>
    <w:rsid w:val="008D539E"/>
    <w:rsid w:val="008E04B3"/>
    <w:rsid w:val="008E12E4"/>
    <w:rsid w:val="00900151"/>
    <w:rsid w:val="00922E5D"/>
    <w:rsid w:val="00966958"/>
    <w:rsid w:val="009F19ED"/>
    <w:rsid w:val="00A31FB7"/>
    <w:rsid w:val="00B043CE"/>
    <w:rsid w:val="00B544F5"/>
    <w:rsid w:val="00B674A3"/>
    <w:rsid w:val="00BF5F05"/>
    <w:rsid w:val="00C029B7"/>
    <w:rsid w:val="00C223E1"/>
    <w:rsid w:val="00C238E6"/>
    <w:rsid w:val="00C371C9"/>
    <w:rsid w:val="00C41329"/>
    <w:rsid w:val="00C65E9F"/>
    <w:rsid w:val="00CA7C8E"/>
    <w:rsid w:val="00CE1DD4"/>
    <w:rsid w:val="00D13BDE"/>
    <w:rsid w:val="00DB2058"/>
    <w:rsid w:val="00E57B80"/>
    <w:rsid w:val="00E6228B"/>
    <w:rsid w:val="00E74FC0"/>
    <w:rsid w:val="00EF72B4"/>
    <w:rsid w:val="00F07CCF"/>
    <w:rsid w:val="00F52C9F"/>
    <w:rsid w:val="00F54492"/>
    <w:rsid w:val="00F766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505BB0"/>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F9736-5E48-4443-9B94-90369E4BA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2685</Words>
  <Characters>14503</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3</cp:revision>
  <dcterms:created xsi:type="dcterms:W3CDTF">2026-06-05T20:36:00Z</dcterms:created>
  <dcterms:modified xsi:type="dcterms:W3CDTF">2026-06-05T20:38:00Z</dcterms:modified>
</cp:coreProperties>
</file>