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77EF5"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090E4F81"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050CBAD2" w14:textId="77777777" w:rsidR="002307C0" w:rsidRPr="00170E58" w:rsidRDefault="002307C0" w:rsidP="002307C0">
      <w:pPr>
        <w:rPr>
          <w:rFonts w:ascii="Times New Roman" w:hAnsi="Times New Roman" w:cs="Times New Roman"/>
          <w:sz w:val="24"/>
          <w:szCs w:val="24"/>
        </w:rPr>
      </w:pPr>
    </w:p>
    <w:p w14:paraId="5467AB2F"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 xml:space="preserve">DEMANDA </w:t>
      </w:r>
      <w:r>
        <w:rPr>
          <w:rFonts w:ascii="Times New Roman" w:hAnsi="Times New Roman" w:cs="Times New Roman"/>
          <w:b/>
          <w:bCs/>
          <w:sz w:val="24"/>
          <w:szCs w:val="24"/>
        </w:rPr>
        <w:t>[DEMANDA]</w:t>
      </w:r>
    </w:p>
    <w:p w14:paraId="281EF9F3"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 xml:space="preserve">LAUDO PERICIAL nº. </w:t>
      </w:r>
      <w:r>
        <w:rPr>
          <w:rFonts w:ascii="Times New Roman" w:hAnsi="Times New Roman" w:cs="Times New Roman"/>
          <w:b/>
          <w:bCs/>
          <w:sz w:val="24"/>
          <w:szCs w:val="24"/>
        </w:rPr>
        <w:t>[LAUDO]</w:t>
      </w:r>
    </w:p>
    <w:p w14:paraId="4767AAE1" w14:textId="77777777" w:rsidR="002307C0" w:rsidRPr="00170E58" w:rsidRDefault="002307C0" w:rsidP="00296B30">
      <w:pPr>
        <w:pStyle w:val="SemEspaamento"/>
      </w:pPr>
    </w:p>
    <w:p w14:paraId="6F135E24" w14:textId="4AA5D1BC"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21</w:t>
      </w:r>
      <w:r>
        <w:rPr>
          <w:rFonts w:ascii="Times New Roman" w:hAnsi="Times New Roman" w:cs="Times New Roman"/>
          <w:sz w:val="24"/>
          <w:szCs w:val="24"/>
        </w:rPr>
        <w:t xml:space="preserve"> de </w:t>
      </w:r>
      <w:r>
        <w:rPr>
          <w:rFonts w:ascii="Times New Roman" w:hAnsi="Times New Roman" w:cs="Times New Roman"/>
          <w:b/>
          <w:bCs/>
          <w:sz w:val="24"/>
          <w:szCs w:val="24"/>
        </w:rPr>
        <w:t>maio</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sidRPr="00F05065">
        <w:rPr>
          <w:rFonts w:ascii="Times New Roman" w:hAnsi="Times New Roman" w:cs="Times New Roman"/>
          <w:sz w:val="24"/>
          <w:szCs w:val="24"/>
        </w:rPr>
        <w:t>DEPARTAMENTO DE POLÍCIA CIENTÍFICA da 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1</w:t>
      </w:r>
      <w:r w:rsidR="00F05065">
        <w:rPr>
          <w:rFonts w:ascii="Times New Roman" w:hAnsi="Times New Roman" w:cs="Times New Roman"/>
          <w:b/>
          <w:bCs/>
          <w:sz w:val="24"/>
          <w:szCs w:val="24"/>
        </w:rPr>
        <w:t>4</w:t>
      </w:r>
      <w:r>
        <w:rPr>
          <w:rFonts w:ascii="Times New Roman" w:hAnsi="Times New Roman" w:cs="Times New Roman"/>
          <w:sz w:val="24"/>
          <w:szCs w:val="24"/>
        </w:rPr>
        <w:t xml:space="preserve"> de </w:t>
      </w:r>
      <w:r>
        <w:rPr>
          <w:rFonts w:ascii="Times New Roman" w:hAnsi="Times New Roman" w:cs="Times New Roman"/>
          <w:b/>
          <w:bCs/>
          <w:sz w:val="24"/>
          <w:szCs w:val="24"/>
        </w:rPr>
        <w:t>maio</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sidRPr="00F05065">
        <w:rPr>
          <w:rFonts w:ascii="Times New Roman" w:hAnsi="Times New Roman" w:cs="Times New Roman"/>
          <w:b/>
          <w:bCs/>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550F7434" w14:textId="77777777" w:rsidR="00533532" w:rsidRPr="00170E58" w:rsidRDefault="00533532" w:rsidP="00296B30">
      <w:pPr>
        <w:pStyle w:val="SemEspaamento"/>
      </w:pPr>
    </w:p>
    <w:p w14:paraId="4CE9C2BC"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3EE089F4" w14:textId="77777777" w:rsidR="00170E58" w:rsidRDefault="00170E58" w:rsidP="00296B30">
      <w:pPr>
        <w:pStyle w:val="SemEspaamento"/>
      </w:pPr>
    </w:p>
    <w:p w14:paraId="47191F72" w14:textId="77777777"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[DESTINO] – PARNAÍBA/PI</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29D82F08" w14:textId="77777777" w:rsidR="00533532" w:rsidRPr="00170E58" w:rsidRDefault="00533532" w:rsidP="00296B30">
      <w:pPr>
        <w:pStyle w:val="SemEspaamento"/>
      </w:pPr>
    </w:p>
    <w:p w14:paraId="65911ED8" w14:textId="77777777"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0B59359D" w14:textId="77777777"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786A8626"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Foi submetido a exame preliminar no núcleo pericial pelo Perito Criminal plantonista, referente à Demanda nº. </w:t>
      </w:r>
      <w:r>
        <w:rPr>
          <w:rFonts w:ascii="Times New Roman" w:hAnsi="Times New Roman" w:cs="Times New Roman"/>
          <w:b/>
          <w:bCs/>
          <w:sz w:val="24"/>
          <w:szCs w:val="24"/>
        </w:rPr>
        <w:t>[DEMANDA_PRELIM]</w:t>
      </w:r>
      <w:r>
        <w:rPr>
          <w:rFonts w:ascii="Times New Roman" w:hAnsi="Times New Roman" w:cs="Times New Roman"/>
          <w:sz w:val="24"/>
          <w:szCs w:val="24"/>
        </w:rPr>
        <w:t xml:space="preserve">. Nessa etapa, o material foi transferido para o Envelope de Vestígios/Lacre nº. </w:t>
      </w:r>
      <w:r>
        <w:rPr>
          <w:rFonts w:ascii="Times New Roman" w:hAnsi="Times New Roman" w:cs="Times New Roman"/>
          <w:b/>
          <w:bCs/>
          <w:sz w:val="24"/>
          <w:szCs w:val="24"/>
        </w:rPr>
        <w:t>[ENV_POS_PRELIM]</w:t>
      </w:r>
      <w:r>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Pr>
          <w:rFonts w:ascii="Times New Roman" w:hAnsi="Times New Roman" w:cs="Times New Roman"/>
          <w:sz w:val="24"/>
          <w:szCs w:val="24"/>
        </w:rPr>
        <w:t>arts</w:t>
      </w:r>
      <w:proofErr w:type="spellEnd"/>
      <w:r>
        <w:rPr>
          <w:rFonts w:ascii="Times New Roman" w:hAnsi="Times New Roman" w:cs="Times New Roman"/>
          <w:sz w:val="24"/>
          <w:szCs w:val="24"/>
        </w:rPr>
        <w:t>. 158-A a 158-F do CPP (Lei 13.964/2019).</w:t>
      </w:r>
    </w:p>
    <w:p w14:paraId="29A94FE6" w14:textId="77777777" w:rsidR="00533532" w:rsidRPr="007B71B0" w:rsidRDefault="00533532" w:rsidP="007B71B0">
      <w:pPr>
        <w:rPr>
          <w:sz w:val="24"/>
          <w:szCs w:val="24"/>
        </w:rPr>
      </w:pPr>
    </w:p>
    <w:p w14:paraId="5F6AFA34" w14:textId="77777777" w:rsidR="00533532" w:rsidRPr="00F05065" w:rsidRDefault="004A4051" w:rsidP="00F05065">
      <w:pPr>
        <w:pStyle w:val="SemEspaamento"/>
        <w:jc w:val="both"/>
        <w:rPr>
          <w:rFonts w:ascii="Times New Roman" w:hAnsi="Times New Roman" w:cs="Times New Roman"/>
          <w:sz w:val="24"/>
          <w:szCs w:val="24"/>
        </w:rPr>
      </w:pPr>
      <w:r w:rsidRPr="00F05065">
        <w:rPr>
          <w:rFonts w:ascii="Times New Roman" w:hAnsi="Times New Roman" w:cs="Times New Roman"/>
          <w:sz w:val="24"/>
          <w:szCs w:val="24"/>
        </w:rP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260D79F4" w14:textId="77777777" w:rsidR="00533532" w:rsidRPr="00F05065" w:rsidRDefault="00533532" w:rsidP="00F05065">
      <w:pPr>
        <w:pStyle w:val="SemEspaamento"/>
        <w:jc w:val="both"/>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1944"/>
        <w:gridCol w:w="3261"/>
      </w:tblGrid>
      <w:tr w:rsidR="00E74FC0" w:rsidRPr="00B674A3" w14:paraId="333ED73A" w14:textId="77777777" w:rsidTr="00C029B7">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6E0C500B"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69679DF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47251DF9"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1944" w:type="dxa"/>
          </w:tcPr>
          <w:p w14:paraId="75FBA73B"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261" w:type="dxa"/>
          </w:tcPr>
          <w:p w14:paraId="524B711A"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E74FC0" w:rsidRPr="008D1C30" w14:paraId="32B2E1ED"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CD38B50" w14:textId="77777777" w:rsidR="00E74FC0" w:rsidRPr="008D1C30" w:rsidRDefault="00E74FC0" w:rsidP="00E74FC0">
            <w:pPr>
              <w:spacing w:before="80" w:after="80"/>
              <w:jc w:val="center"/>
              <w:rPr>
                <w:rFonts w:ascii="Times New Roman" w:hAnsi="Times New Roman" w:cs="Times New Roman"/>
                <w:b w:val="0"/>
                <w:bCs w:val="0"/>
                <w:sz w:val="20"/>
                <w:szCs w:val="20"/>
              </w:rPr>
            </w:pPr>
            <w:r>
              <w:rPr>
                <w:rFonts w:ascii="Times New Roman" w:hAnsi="Times New Roman" w:cs="Times New Roman"/>
                <w:sz w:val="20"/>
                <w:szCs w:val="20"/>
              </w:rPr>
              <w:t>c.</w:t>
            </w:r>
          </w:p>
        </w:tc>
        <w:tc>
          <w:tcPr>
            <w:tcW w:w="2290" w:type="dxa"/>
          </w:tcPr>
          <w:p w14:paraId="2A943B3B" w14:textId="77777777" w:rsidR="00E74FC0" w:rsidRPr="008D1C30" w:rsidRDefault="008D1C30" w:rsidP="005C7103">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[MASSA_MAC_BRUTA]</w:t>
            </w:r>
            <w:r>
              <w:rPr>
                <w:rFonts w:ascii="Times New Roman" w:hAnsi="Times New Roman" w:cs="Times New Roman"/>
                <w:sz w:val="20"/>
                <w:szCs w:val="20"/>
              </w:rPr>
              <w:t xml:space="preserve"> ([MASSA_MAC_EXT]) massa bruta</w:t>
            </w:r>
          </w:p>
        </w:tc>
        <w:tc>
          <w:tcPr>
            <w:tcW w:w="1316" w:type="dxa"/>
          </w:tcPr>
          <w:p w14:paraId="13B0FEA2" w14:textId="77777777"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1944" w:type="dxa"/>
          </w:tcPr>
          <w:p w14:paraId="0825492C" w14:textId="77777777"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[ACOND_MAC]</w:t>
            </w:r>
          </w:p>
        </w:tc>
        <w:tc>
          <w:tcPr>
            <w:tcW w:w="3261" w:type="dxa"/>
          </w:tcPr>
          <w:p w14:paraId="1974D8EE" w14:textId="77777777"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[ASPECTOS_MAC]</w:t>
            </w:r>
          </w:p>
        </w:tc>
      </w:tr>
    </w:tbl>
    <w:p w14:paraId="1392152C" w14:textId="77777777"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6642E4D1" w14:textId="77777777" w:rsidR="00776EA1" w:rsidRPr="00B674A3" w:rsidRDefault="00776EA1" w:rsidP="007B71B0">
      <w:pPr>
        <w:spacing w:before="80" w:after="80"/>
        <w:rPr>
          <w:rFonts w:ascii="Times New Roman" w:hAnsi="Times New Roman" w:cs="Times New Roman"/>
          <w:sz w:val="20"/>
          <w:szCs w:val="20"/>
        </w:rPr>
      </w:pPr>
    </w:p>
    <w:p w14:paraId="2F5109BB" w14:textId="77777777" w:rsidR="00B674A3" w:rsidRDefault="00040C41" w:rsidP="00040C41">
      <w:pPr>
        <w:spacing w:before="80" w:after="80"/>
        <w:jc w:val="center"/>
        <w:rPr>
          <w:rFonts w:ascii="Times New Roman" w:hAnsi="Times New Roman" w:cs="Times New Roman"/>
          <w:i/>
          <w:iCs/>
        </w:rPr>
      </w:pPr>
      <w:r>
        <w:rPr>
          <w:rFonts w:ascii="Times New Roman" w:hAnsi="Times New Roman" w:cs="Times New Roman"/>
          <w:i/>
          <w:iCs/>
          <w:noProof/>
        </w:rPr>
        <w:drawing>
          <wp:inline distT="0" distB="0" distL="0" distR="0" wp14:anchorId="4E5977F7" wp14:editId="595C0EE7">
            <wp:extent cx="5980427" cy="4364437"/>
            <wp:effectExtent l="19050" t="19050" r="20955" b="17145"/>
            <wp:docPr id="1" name="Imagem 1" descr="C:\Users\labnm\Downloads\WhatsApp Image 2026-05-27 at 07.48.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bnm\Downloads\WhatsApp Image 2026-05-27 at 07.48.58.jpe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8837" cy="4370574"/>
                    </a:xfrm>
                    <a:prstGeom prst="rect">
                      <a:avLst/>
                    </a:prstGeom>
                    <a:noFill/>
                    <a:ln>
                      <a:solidFill>
                        <a:schemeClr val="accent5">
                          <a:lumMod val="20000"/>
                          <a:lumOff val="80000"/>
                        </a:schemeClr>
                      </a:solidFill>
                    </a:ln>
                  </pic:spPr>
                </pic:pic>
              </a:graphicData>
            </a:graphic>
          </wp:inline>
        </w:drawing>
      </w:r>
    </w:p>
    <w:p w14:paraId="52EF22AC" w14:textId="77777777"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 xml:space="preserve">Figura 1. Vista geral do material encaminhado a exame. Material custodiado provisoriamente no LAB-NRPC/PHB. </w:t>
      </w:r>
    </w:p>
    <w:p w14:paraId="3B121539" w14:textId="77777777" w:rsidR="00533532" w:rsidRPr="007B71B0" w:rsidRDefault="00533532" w:rsidP="007B71B0">
      <w:pPr>
        <w:rPr>
          <w:rFonts w:ascii="Times New Roman" w:hAnsi="Times New Roman" w:cs="Times New Roman"/>
          <w:sz w:val="24"/>
          <w:szCs w:val="24"/>
        </w:rPr>
      </w:pPr>
    </w:p>
    <w:p w14:paraId="3FC50566"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046CDDCB" w14:textId="77777777" w:rsidR="00533532" w:rsidRPr="007B71B0" w:rsidRDefault="00533532" w:rsidP="00296B30">
      <w:pPr>
        <w:pStyle w:val="SemEspaamento"/>
      </w:pPr>
    </w:p>
    <w:p w14:paraId="5F857003"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r>
        <w:rPr>
          <w:rStyle w:val="Refdenotaderodap"/>
          <w:rFonts w:ascii="Times New Roman" w:hAnsi="Times New Roman" w:cs="Times New Roman"/>
          <w:sz w:val="24"/>
          <w:szCs w:val="24"/>
        </w:rPr>
        <w:footnoteReference w:id="2"/>
      </w:r>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1D2716EE" w14:textId="77777777" w:rsidR="00533532" w:rsidRPr="007B71B0" w:rsidRDefault="00533532" w:rsidP="00296B30">
      <w:pPr>
        <w:pStyle w:val="SemEspaamento"/>
      </w:pPr>
    </w:p>
    <w:p w14:paraId="7FA77B41" w14:textId="77777777" w:rsidR="00533532" w:rsidRPr="007B71B0" w:rsidRDefault="004A4051" w:rsidP="007B71B0">
      <w:pPr>
        <w:pStyle w:val="Ttulo1"/>
        <w:rPr>
          <w:rFonts w:ascii="Times New Roman" w:hAnsi="Times New Roman" w:cs="Times New Roman"/>
        </w:rPr>
      </w:pPr>
      <w:r>
        <w:rPr>
          <w:rFonts w:ascii="Times New Roman" w:hAnsi="Times New Roman" w:cs="Times New Roman"/>
        </w:rPr>
        <w:lastRenderedPageBreak/>
        <w:t>2.   EXAMES REALIZADOS</w:t>
      </w:r>
    </w:p>
    <w:p w14:paraId="573061CD"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624D29B" w14:textId="77777777" w:rsidR="00AA0001" w:rsidRDefault="00AA0001">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2.0, 08/06/2026). O espectrômetro </w:t>
      </w:r>
      <w:r>
        <w:rPr>
          <w:rFonts w:ascii="Times New Roman" w:eastAsia="Times New Roman" w:hAnsi="Times New Roman" w:cs="Times New Roman"/>
          <w:i/>
          <w:iCs/>
          <w:sz w:val="24"/>
          <w:szCs w:val="24"/>
        </w:rPr>
        <w:t xml:space="preserve">Bruker Alpha II</w:t>
      </w:r>
      <w:r>
        <w:rPr>
          <w:rFonts w:ascii="Times New Roman" w:hAnsi="Times New Roman" w:cs="Times New Roman"/>
          <w:sz w:val="24"/>
          <w:szCs w:val="24"/>
        </w:rPr>
        <w:t xml:space="preserve"> (nº de série 210363) foi submetido ao Protocolo de Qualificação de Desempenho (OVP — </w:t>
      </w:r>
      <w:r>
        <w:rPr>
          <w:rFonts w:ascii="Times New Roman" w:eastAsia="Times New Roman" w:hAnsi="Times New Roman" w:cs="Times New Roman"/>
          <w:i/>
          <w:iCs/>
          <w:sz w:val="24"/>
          <w:szCs w:val="24"/>
        </w:rPr>
        <w:t xml:space="preserve">Operational Verification Protocol</w:t>
      </w:r>
      <w:r>
        <w:rPr>
          <w:rFonts w:ascii="Times New Roman" w:hAnsi="Times New Roman" w:cs="Times New Roman"/>
          <w:sz w:val="24"/>
          <w:szCs w:val="24"/>
        </w:rPr>
        <w:t xml:space="preserve"> / PQ Test, Bruker Optik GmbH) em </w:t>
      </w:r>
      <w:r>
        <w:rPr>
          <w:rFonts w:ascii="Times New Roman" w:hAnsi="Times New Roman" w:cs="Times New Roman"/>
          <w:sz w:val="24"/>
          <w:szCs w:val="24"/>
        </w:rPr>
        <w:t xml:space="preserve">[DATA_INICIO_OVP]</w:t>
      </w:r>
      <w:r>
        <w:rPr>
          <w:rFonts w:ascii="Times New Roman" w:hAnsi="Times New Roman" w:cs="Times New Roman"/>
          <w:sz w:val="24"/>
          <w:szCs w:val="24"/>
        </w:rPr>
        <w:t xml:space="preserve">, validade </w:t>
      </w:r>
      <w:r>
        <w:rPr>
          <w:rFonts w:ascii="Times New Roman" w:hAnsi="Times New Roman" w:cs="Times New Roman"/>
          <w:sz w:val="24"/>
          <w:szCs w:val="24"/>
        </w:rPr>
        <w:t xml:space="preserve">[DATA_VALID_OVP]</w:t>
      </w:r>
      <w:r>
        <w:rPr>
          <w:rFonts w:ascii="Times New Roman" w:hAnsi="Times New Roman" w:cs="Times New Roman"/>
          <w:sz w:val="24"/>
          <w:szCs w:val="24"/>
        </w:rPr>
        <w:t xml:space="preserve">, com resultado geral </w:t>
      </w:r>
      <w:r>
        <w:rPr>
          <w:rFonts w:ascii="Times New Roman" w:eastAsia="Times New Roman" w:hAnsi="Times New Roman" w:cs="Times New Roman"/>
          <w:b/>
          <w:bCs/>
          <w:sz w:val="24"/>
          <w:szCs w:val="24"/>
        </w:rPr>
        <w:t xml:space="preserve">PASSED</w:t>
      </w:r>
      <w:r>
        <w:rPr>
          <w:rFonts w:ascii="Times New Roman" w:hAnsi="Times New Roman" w:cs="Times New Roman"/>
          <w:sz w:val="24"/>
          <w:szCs w:val="24"/>
        </w:rPr>
        <w:t xml:space="preserve"> em todos os testes obrigatórios: (i) Relação Sinal/Ruído (S/N) medida: </w:t>
      </w:r>
      <w:r>
        <w:rPr>
          <w:rFonts w:ascii="Times New Roman" w:hAnsi="Times New Roman" w:cs="Times New Roman"/>
          <w:sz w:val="24"/>
          <w:szCs w:val="24"/>
        </w:rPr>
        <w:t xml:space="preserve">[SN_VALOR]</w:t>
      </w:r>
      <w:r>
        <w:rPr>
          <w:rFonts w:ascii="Times New Roman" w:hAnsi="Times New Roman" w:cs="Times New Roman"/>
          <w:sz w:val="24"/>
          <w:szCs w:val="24"/>
        </w:rPr>
        <w:t xml:space="preserve"> (mínimo exigido: 150); (ii) Desvio máximo da linha 100%: </w:t>
      </w:r>
      <w:r>
        <w:rPr>
          <w:rFonts w:ascii="Times New Roman" w:hAnsi="Times New Roman" w:cs="Times New Roman"/>
          <w:sz w:val="24"/>
          <w:szCs w:val="24"/>
        </w:rPr>
        <w:t xml:space="preserve">[LINHA100_VALOR]</w:t>
      </w:r>
      <w:r>
        <w:rPr>
          <w:rFonts w:ascii="Times New Roman" w:hAnsi="Times New Roman" w:cs="Times New Roman"/>
          <w:sz w:val="24"/>
          <w:szCs w:val="24"/>
        </w:rPr>
        <w:t xml:space="preserve">% (máximo admissível: 2,0%); (iii) Exatidão de número de onda verificada com poliestireno padrão: desvio medido de </w:t>
      </w:r>
      <w:r>
        <w:rPr>
          <w:rFonts w:ascii="Times New Roman" w:hAnsi="Times New Roman" w:cs="Times New Roman"/>
          <w:sz w:val="24"/>
          <w:szCs w:val="24"/>
        </w:rPr>
        <w:t xml:space="preserve">[DESVIO_NV]</w:t>
      </w:r>
      <w:r>
        <w:rPr>
          <w:rFonts w:ascii="Times New Roman" w:hAnsi="Times New Roman" w:cs="Times New Roman"/>
          <w:sz w:val="24"/>
          <w:szCs w:val="24"/>
        </w:rPr>
        <w:t xml:space="preserve"> cm⁻¹ (máximo admissível: ±0,50 cm⁻¹). Os resultados atestam plena conformidade instrumental à época da realização dos exames.</w:t>
      </w:r>
    </w:p>
    <w:p w14:paraId="7DB07C0A" w14:textId="77777777" w:rsidR="00533532" w:rsidRPr="007B71B0" w:rsidRDefault="00533532" w:rsidP="00296B30">
      <w:pPr>
        <w:pStyle w:val="SemEspaamento"/>
      </w:pPr>
    </w:p>
    <w:p w14:paraId="76939606"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16EF50E7"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75FF76F8" w14:textId="77777777" w:rsidR="00533532" w:rsidRPr="007B71B0" w:rsidRDefault="00533532" w:rsidP="00296B30">
      <w:pPr>
        <w:pStyle w:val="SemEspaamento"/>
      </w:pPr>
    </w:p>
    <w:p w14:paraId="64840C1E" w14:textId="77777777" w:rsidR="0049780B" w:rsidRPr="0049780B" w:rsidRDefault="0049780B" w:rsidP="0049780B">
      <w:pPr>
        <w:spacing w:before="140" w:after="80"/>
        <w:rPr>
          <w:color w:val="0070C0"/>
        </w:rPr>
      </w:pPr>
      <w:r>
        <w:rPr>
          <w:rFonts w:ascii="Times New Roman" w:eastAsia="Times New Roman" w:hAnsi="Times New Roman" w:cs="Times New Roman"/>
          <w:b/>
          <w:bCs/>
          <w:color w:val="0070C0"/>
          <w:sz w:val="24"/>
          <w:szCs w:val="24"/>
        </w:rPr>
        <w:t>2.3.   Ensaio Colorimétrico Presuntivo — Reação com o Sal Fast Blue B</w:t>
      </w:r>
    </w:p>
    <w:p w14:paraId="38D1B6D6"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Frações representativas foram submetidas ao ensaio colorimétrico com sal Fast Blue B (cloreto de </w:t>
      </w:r>
      <w:proofErr w:type="spellStart"/>
      <w:r>
        <w:rPr>
          <w:rFonts w:ascii="Times New Roman" w:eastAsia="Times New Roman" w:hAnsi="Times New Roman" w:cs="Times New Roman"/>
          <w:sz w:val="24"/>
          <w:szCs w:val="24"/>
        </w:rPr>
        <w:t>di</w:t>
      </w:r>
      <w:proofErr w:type="spellEnd"/>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anisidina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tetrazolio</w:t>
      </w:r>
      <w:proofErr w:type="spell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w:t>
      </w:r>
      <w:proofErr w:type="spellStart"/>
      <w:r>
        <w:rPr>
          <w:rFonts w:ascii="Times New Roman" w:eastAsia="Times New Roman" w:hAnsi="Times New Roman" w:cs="Times New Roman"/>
          <w:sz w:val="24"/>
          <w:szCs w:val="24"/>
        </w:rPr>
        <w:t>canabinoides</w:t>
      </w:r>
      <w:proofErr w:type="spellEnd"/>
      <w:r>
        <w:rPr>
          <w:rFonts w:ascii="Times New Roman" w:eastAsia="Times New Roman" w:hAnsi="Times New Roman" w:cs="Times New Roman"/>
          <w:sz w:val="24"/>
          <w:szCs w:val="24"/>
        </w:rPr>
        <w:t xml:space="preserve"> fenólicos. O método baseia-se na formação de uma ligação azo (–N=N–) altamente conjugada entre o sal </w:t>
      </w:r>
      <w:proofErr w:type="spellStart"/>
      <w:r>
        <w:rPr>
          <w:rFonts w:ascii="Times New Roman" w:eastAsia="Times New Roman" w:hAnsi="Times New Roman" w:cs="Times New Roman"/>
          <w:sz w:val="24"/>
          <w:szCs w:val="24"/>
        </w:rPr>
        <w:t>diazônio</w:t>
      </w:r>
      <w:proofErr w:type="spellEnd"/>
      <w:r>
        <w:rPr>
          <w:rFonts w:ascii="Times New Roman" w:eastAsia="Times New Roman" w:hAnsi="Times New Roman" w:cs="Times New Roman"/>
          <w:sz w:val="24"/>
          <w:szCs w:val="24"/>
        </w:rPr>
        <w:t xml:space="preserve"> e o grupamento fenólico do Δ9-THC, produzindo coloração vermelho-púrpura/avermelhada característica na fase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xml:space="preserve">. </w:t>
      </w:r>
    </w:p>
    <w:p w14:paraId="606004B6"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
    <w:p w14:paraId="5EA19335" w14:textId="77777777" w:rsidR="007A6B49" w:rsidRDefault="0049780B" w:rsidP="00E6228B">
      <w:pPr>
        <w:spacing w:before="80" w:after="80"/>
        <w:jc w:val="both"/>
      </w:pPr>
      <w:r>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Fase 1 — fração em solução salina com Fast Blue B (1 mg/</w:t>
      </w:r>
      <w:proofErr w:type="spellStart"/>
      <w:r>
        <w:rPr>
          <w:rFonts w:ascii="Times New Roman" w:eastAsia="Times New Roman" w:hAnsi="Times New Roman" w:cs="Times New Roman"/>
          <w:sz w:val="24"/>
          <w:szCs w:val="24"/>
        </w:rPr>
        <w:t>mL</w:t>
      </w:r>
      <w:proofErr w:type="spellEnd"/>
      <w:r>
        <w:rPr>
          <w:rFonts w:ascii="Times New Roman" w:eastAsia="Times New Roman" w:hAnsi="Times New Roman" w:cs="Times New Roman"/>
          <w:sz w:val="24"/>
          <w:szCs w:val="24"/>
        </w:rPr>
        <w:t xml:space="preserve">), aguardar 2 minutos; Fase 2 — adição de n-hexano e agitação;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constitui resultado presuntivo positivo.</w:t>
      </w:r>
      <w:r>
        <w:t xml:space="preserve"> </w:t>
      </w:r>
    </w:p>
    <w:p w14:paraId="779930F7" w14:textId="77777777" w:rsidR="0049780B"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4AF87655" w14:textId="77777777" w:rsidR="007A6B49" w:rsidRDefault="007A6B49" w:rsidP="00E6228B">
      <w:pPr>
        <w:spacing w:before="80" w:after="80"/>
        <w:jc w:val="both"/>
      </w:pPr>
    </w:p>
    <w:p w14:paraId="38E0656F" w14:textId="77777777" w:rsidR="00256A8B" w:rsidRDefault="00256A8B" w:rsidP="00256A8B">
      <w:pPr>
        <w:pStyle w:val="PargrafodaLista"/>
        <w:jc w:val="center"/>
        <w:rPr>
          <w:rFonts w:eastAsia="Times New Roman" w:cs="Times New Roman"/>
        </w:rPr>
      </w:pPr>
      <w:r>
        <w:rPr>
          <w:rFonts w:eastAsia="Times New Roman" w:cs="Times New Roman"/>
          <w:noProof/>
        </w:rPr>
        <w:drawing>
          <wp:inline distT="0" distB="0" distL="0" distR="0" wp14:anchorId="3BB49B65" wp14:editId="1ABA459D">
            <wp:extent cx="3710574" cy="1487170"/>
            <wp:effectExtent l="0" t="0" r="444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13A022E7" w14:textId="77777777" w:rsidR="00256A8B" w:rsidRPr="00256A8B" w:rsidRDefault="00256A8B" w:rsidP="00256A8B">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w:t>
      </w:r>
      <w:proofErr w:type="spellStart"/>
      <w:r>
        <w:rPr>
          <w:rFonts w:ascii="Times New Roman" w:hAnsi="Times New Roman" w:cs="Times New Roman"/>
          <w:i/>
          <w:iCs/>
          <w:sz w:val="20"/>
          <w:szCs w:val="20"/>
        </w:rPr>
        <w:t>hexânico</w:t>
      </w:r>
      <w:proofErr w:type="spellEnd"/>
      <w:r>
        <w:rPr>
          <w:rFonts w:ascii="Times New Roman" w:hAnsi="Times New Roman" w:cs="Times New Roman"/>
          <w:i/>
          <w:iCs/>
          <w:sz w:val="20"/>
          <w:szCs w:val="20"/>
        </w:rPr>
        <w:t>.</w:t>
      </w:r>
    </w:p>
    <w:p w14:paraId="0167A7A7" w14:textId="77777777" w:rsidR="0049780B" w:rsidRPr="00E6228B" w:rsidRDefault="0049780B" w:rsidP="00296B30">
      <w:pPr>
        <w:pStyle w:val="SemEspaamento"/>
      </w:pPr>
    </w:p>
    <w:p w14:paraId="009759D5" w14:textId="77777777" w:rsidR="0049780B" w:rsidRPr="00CE1DD4" w:rsidRDefault="0049780B" w:rsidP="00CE1DD4">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2.4.   Análise Macroscópico-Botânica</w:t>
      </w:r>
    </w:p>
    <w:p w14:paraId="495E01A4" w14:textId="77777777" w:rsidR="00CE1DD4" w:rsidRPr="00CE1DD4" w:rsidRDefault="00CE1DD4" w:rsidP="00CE1DD4">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3"/>
      </w:r>
      <w:r>
        <w:rPr>
          <w:rFonts w:ascii="Times New Roman" w:hAnsi="Times New Roman" w:cs="Times New Roman"/>
          <w:sz w:val="24"/>
          <w:szCs w:val="24"/>
        </w:rPr>
        <w:t>.</w:t>
      </w:r>
    </w:p>
    <w:p w14:paraId="3671DDEF" w14:textId="77777777" w:rsidR="00CE1DD4" w:rsidRDefault="00CE1DD4" w:rsidP="00CE1DD4">
      <w:pPr>
        <w:pStyle w:val="font-claude-response-body"/>
        <w:jc w:val="both"/>
      </w:pPr>
      <w:r>
        <w:lastRenderedPageBreak/>
        <w:t>A análise foi conduzida com avaliação macroscópica direta e sob lupa (10×), com a finalidade de pesquisar os seguintes caracteres morfológicos relevantes:</w:t>
      </w:r>
    </w:p>
    <w:p w14:paraId="495BF3E3"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w:t>
      </w:r>
      <w:proofErr w:type="spellStart"/>
      <w:r>
        <w:rPr>
          <w:rFonts w:ascii="Times New Roman" w:hAnsi="Times New Roman" w:cs="Times New Roman"/>
          <w:sz w:val="20"/>
          <w:szCs w:val="20"/>
        </w:rPr>
        <w:t>terpenoides</w:t>
      </w:r>
      <w:proofErr w:type="spellEnd"/>
      <w:r>
        <w:rPr>
          <w:rFonts w:ascii="Times New Roman" w:hAnsi="Times New Roman" w:cs="Times New Roman"/>
          <w:sz w:val="20"/>
          <w:szCs w:val="20"/>
        </w:rPr>
        <w:t xml:space="preserve">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67A8320A"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w:t>
      </w:r>
      <w:proofErr w:type="spellStart"/>
      <w:r>
        <w:rPr>
          <w:rFonts w:ascii="Times New Roman" w:hAnsi="Times New Roman" w:cs="Times New Roman"/>
          <w:sz w:val="20"/>
          <w:szCs w:val="20"/>
        </w:rPr>
        <w:t>terpênico</w:t>
      </w:r>
      <w:proofErr w:type="spellEnd"/>
      <w:r>
        <w:rPr>
          <w:rFonts w:ascii="Times New Roman" w:hAnsi="Times New Roman" w:cs="Times New Roman"/>
          <w:sz w:val="20"/>
          <w:szCs w:val="20"/>
        </w:rPr>
        <w:t xml:space="preserve"> da espécie (</w:t>
      </w:r>
      <w:proofErr w:type="spellStart"/>
      <w:r>
        <w:rPr>
          <w:rFonts w:ascii="Times New Roman" w:hAnsi="Times New Roman" w:cs="Times New Roman"/>
          <w:sz w:val="20"/>
          <w:szCs w:val="20"/>
        </w:rPr>
        <w:t>mirceno</w:t>
      </w:r>
      <w:proofErr w:type="spellEnd"/>
      <w:r>
        <w:rPr>
          <w:rFonts w:ascii="Times New Roman" w:hAnsi="Times New Roman" w:cs="Times New Roman"/>
          <w:sz w:val="20"/>
          <w:szCs w:val="20"/>
        </w:rPr>
        <w:t>, β-</w:t>
      </w:r>
      <w:proofErr w:type="spellStart"/>
      <w:r>
        <w:rPr>
          <w:rFonts w:ascii="Times New Roman" w:hAnsi="Times New Roman" w:cs="Times New Roman"/>
          <w:sz w:val="20"/>
          <w:szCs w:val="20"/>
        </w:rPr>
        <w:t>cariofileno</w:t>
      </w:r>
      <w:proofErr w:type="spellEnd"/>
      <w:r>
        <w:rPr>
          <w:rFonts w:ascii="Times New Roman" w:hAnsi="Times New Roman" w:cs="Times New Roman"/>
          <w:sz w:val="20"/>
          <w:szCs w:val="20"/>
        </w:rPr>
        <w:t>), persistente mesmo após ressecamento em virtude da baixa pressão de vapor desses compostos a temperatura ambiente.</w:t>
      </w:r>
    </w:p>
    <w:p w14:paraId="3A949D06"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7258BE87"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51922898"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Cannabis sp.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6F2C2A41"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compatível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0C5DF40E" w14:textId="77777777" w:rsidR="00CE1DD4" w:rsidRDefault="00CE1DD4" w:rsidP="00CE1DD4">
      <w:pPr>
        <w:pStyle w:val="font-claude-response-body"/>
        <w:jc w:val="both"/>
      </w:pPr>
      <w:r>
        <w:t xml:space="preserve">O exame macroscópico-botânico foi empregado como elemento de identificação integrado, não de forma isolada, mas em convergência com o resultado colorimétrico presuntivo (Fast Blue B) e a confirmação instrumental por FTIR-ATR. </w:t>
      </w:r>
    </w:p>
    <w:p w14:paraId="0B687B0E" w14:textId="77777777" w:rsidR="00CE1DD4" w:rsidRPr="007B71B0" w:rsidRDefault="00CE1DD4"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2.5.   Espectroscopia no Infravermelho por Transformada de Fourier (FTIR-ATR)</w:t>
      </w:r>
    </w:p>
    <w:p w14:paraId="424583E1" w14:textId="77777777" w:rsidR="007A6B49" w:rsidRDefault="007A6B49" w:rsidP="007A6B4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FE126A0" w14:textId="47096350" w:rsidR="007A6B49" w:rsidRPr="007B71B0" w:rsidRDefault="007A6B49" w:rsidP="007A6B49">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w:t>
      </w:r>
      <w:r w:rsidR="00F05065">
        <w:rPr>
          <w:rFonts w:ascii="Times New Roman" w:eastAsia="Times New Roman" w:hAnsi="Times New Roman" w:cs="Times New Roman"/>
          <w:sz w:val="24"/>
          <w:szCs w:val="24"/>
        </w:rPr>
        <w:t xml:space="preserve">Espectrômetro </w:t>
      </w:r>
      <w:proofErr w:type="spellStart"/>
      <w:r w:rsidR="00F05065">
        <w:rPr>
          <w:rFonts w:ascii="Times New Roman" w:eastAsia="Times New Roman" w:hAnsi="Times New Roman" w:cs="Times New Roman"/>
          <w:i/>
          <w:iCs/>
          <w:sz w:val="24"/>
          <w:szCs w:val="24"/>
        </w:rPr>
        <w:t>Bruker</w:t>
      </w:r>
      <w:proofErr w:type="spellEnd"/>
      <w:r w:rsidR="00F05065">
        <w:rPr>
          <w:rFonts w:ascii="Times New Roman" w:eastAsia="Times New Roman" w:hAnsi="Times New Roman" w:cs="Times New Roman"/>
          <w:i/>
          <w:iCs/>
          <w:sz w:val="24"/>
          <w:szCs w:val="24"/>
        </w:rPr>
        <w:t xml:space="preserve"> Alpha II</w:t>
      </w:r>
      <w:r w:rsidR="00F05065">
        <w:rPr>
          <w:rFonts w:ascii="Times New Roman" w:eastAsia="Times New Roman" w:hAnsi="Times New Roman" w:cs="Times New Roman"/>
          <w:sz w:val="24"/>
          <w:szCs w:val="24"/>
        </w:rPr>
        <w:t xml:space="preserve"> (nº de série 210363), equipado com acessório de Reflectância Total Atenuada (ATR) com cristal de diamante (ATR Platinum T — 1 reflexão), operando na região espectral de 4000 a 650 cm⁻¹, com 16 varreduras (</w:t>
      </w:r>
      <w:proofErr w:type="spellStart"/>
      <w:r w:rsidR="00F05065">
        <w:rPr>
          <w:rFonts w:ascii="Times New Roman" w:eastAsia="Times New Roman" w:hAnsi="Times New Roman" w:cs="Times New Roman"/>
          <w:i/>
          <w:iCs/>
          <w:sz w:val="24"/>
          <w:szCs w:val="24"/>
        </w:rPr>
        <w:t>scans</w:t>
      </w:r>
      <w:proofErr w:type="spellEnd"/>
      <w:r w:rsidR="00F05065">
        <w:rPr>
          <w:rFonts w:ascii="Times New Roman" w:eastAsia="Times New Roman" w:hAnsi="Times New Roman" w:cs="Times New Roman"/>
          <w:sz w:val="24"/>
          <w:szCs w:val="24"/>
        </w:rPr>
        <w:t xml:space="preserve">) e resolução de 4 cm⁻¹. O processamento e a identificação espectral foram realizados pelo software </w:t>
      </w:r>
      <w:r w:rsidR="00F05065">
        <w:rPr>
          <w:rFonts w:ascii="Times New Roman" w:eastAsia="Times New Roman" w:hAnsi="Times New Roman" w:cs="Times New Roman"/>
          <w:i/>
          <w:iCs/>
          <w:sz w:val="24"/>
          <w:szCs w:val="24"/>
        </w:rPr>
        <w:t xml:space="preserve">OPUS </w:t>
      </w:r>
      <w:proofErr w:type="spellStart"/>
      <w:r w:rsidR="00F05065">
        <w:rPr>
          <w:rFonts w:ascii="Times New Roman" w:eastAsia="Times New Roman" w:hAnsi="Times New Roman" w:cs="Times New Roman"/>
          <w:i/>
          <w:iCs/>
          <w:sz w:val="24"/>
          <w:szCs w:val="24"/>
        </w:rPr>
        <w:t>DrugID</w:t>
      </w:r>
      <w:proofErr w:type="spellEnd"/>
      <w:r w:rsidR="00F05065">
        <w:rPr>
          <w:rFonts w:ascii="Times New Roman" w:eastAsia="Times New Roman" w:hAnsi="Times New Roman" w:cs="Times New Roman"/>
          <w:i/>
          <w:iCs/>
          <w:sz w:val="24"/>
          <w:szCs w:val="24"/>
        </w:rPr>
        <w:t xml:space="preserve"> </w:t>
      </w:r>
      <w:proofErr w:type="spellStart"/>
      <w:r w:rsidR="00F05065">
        <w:rPr>
          <w:rFonts w:ascii="Times New Roman" w:eastAsia="Times New Roman" w:hAnsi="Times New Roman" w:cs="Times New Roman"/>
          <w:i/>
          <w:iCs/>
          <w:sz w:val="24"/>
          <w:szCs w:val="24"/>
        </w:rPr>
        <w:t>Wizard</w:t>
      </w:r>
      <w:proofErr w:type="spellEnd"/>
      <w:r w:rsidR="00F05065">
        <w:rPr>
          <w:rFonts w:ascii="Times New Roman" w:eastAsia="Times New Roman" w:hAnsi="Times New Roman" w:cs="Times New Roman"/>
          <w:sz w:val="24"/>
          <w:szCs w:val="24"/>
        </w:rPr>
        <w:t xml:space="preserve"> (</w:t>
      </w:r>
      <w:proofErr w:type="spellStart"/>
      <w:r w:rsidR="00F05065">
        <w:rPr>
          <w:rFonts w:ascii="Times New Roman" w:eastAsia="Times New Roman" w:hAnsi="Times New Roman" w:cs="Times New Roman"/>
          <w:sz w:val="24"/>
          <w:szCs w:val="24"/>
        </w:rPr>
        <w:t>Bruker</w:t>
      </w:r>
      <w:proofErr w:type="spellEnd"/>
      <w:r w:rsidR="00F05065">
        <w:rPr>
          <w:rFonts w:ascii="Times New Roman" w:eastAsia="Times New Roman" w:hAnsi="Times New Roman" w:cs="Times New Roman"/>
          <w:sz w:val="24"/>
          <w:szCs w:val="24"/>
        </w:rPr>
        <w:t xml:space="preserve"> </w:t>
      </w:r>
      <w:proofErr w:type="spellStart"/>
      <w:r w:rsidR="00F05065">
        <w:rPr>
          <w:rFonts w:ascii="Times New Roman" w:eastAsia="Times New Roman" w:hAnsi="Times New Roman" w:cs="Times New Roman"/>
          <w:sz w:val="24"/>
          <w:szCs w:val="24"/>
        </w:rPr>
        <w:t>Optik</w:t>
      </w:r>
      <w:proofErr w:type="spellEnd"/>
      <w:r w:rsidR="00F05065">
        <w:rPr>
          <w:rFonts w:ascii="Times New Roman" w:eastAsia="Times New Roman" w:hAnsi="Times New Roman" w:cs="Times New Roman"/>
          <w:sz w:val="24"/>
          <w:szCs w:val="24"/>
        </w:rPr>
        <w:t xml:space="preserve"> GmbH), versão 8.2 Build 8.2.28 / DB 8.2.28.242</w:t>
      </w:r>
      <w:r>
        <w:rPr>
          <w:rFonts w:ascii="Times New Roman" w:hAnsi="Times New Roman" w:cs="Times New Roman"/>
          <w:sz w:val="24"/>
          <w:szCs w:val="24"/>
        </w:rPr>
        <w:t>.</w:t>
      </w:r>
    </w:p>
    <w:p w14:paraId="7B93CACC" w14:textId="74B3F249" w:rsidR="00256A8B" w:rsidRDefault="004F641C" w:rsidP="004F641C">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4"/>
      </w:r>
      <w:r w:rsidR="00F05065">
        <w:rPr>
          <w:rFonts w:ascii="Times New Roman" w:hAnsi="Times New Roman" w:cs="Times New Roman"/>
          <w:sz w:val="24"/>
          <w:szCs w:val="24"/>
        </w:rPr>
        <w:t xml:space="preserve"> </w:t>
      </w:r>
      <w:r w:rsidR="00F05065">
        <w:rPr>
          <w:rFonts w:ascii="Times New Roman" w:eastAsia="Times New Roman" w:hAnsi="Times New Roman" w:cs="Times New Roman"/>
          <w:sz w:val="24"/>
          <w:szCs w:val="24"/>
        </w:rPr>
        <w:t>A tolerância declarada de ±4 cm⁻¹ é tecnicamente conservadora em relação à exatidão de número de onda verificada instrumentalmente pelo OVP vigente (desvio medido: 0,28 cm⁻¹), conferindo margem analítica adicional de segurança às identificações realizadas.</w:t>
      </w:r>
    </w:p>
    <w:p w14:paraId="6FD7EBEB" w14:textId="7C24DBCC" w:rsidR="007A6B49" w:rsidRDefault="00F05065" w:rsidP="004F641C">
      <w:pPr>
        <w:spacing w:before="80" w:after="80"/>
        <w:jc w:val="both"/>
        <w:rPr>
          <w:rFonts w:ascii="Times New Roman" w:hAnsi="Times New Roman" w:cs="Times New Roman"/>
          <w:i/>
          <w:iCs/>
          <w:sz w:val="20"/>
          <w:szCs w:val="20"/>
        </w:rPr>
      </w:pPr>
      <w:r>
        <w:rPr>
          <w:noProof/>
        </w:rPr>
        <w:lastRenderedPageBreak/>
        <w:drawing>
          <wp:anchor distT="0" distB="0" distL="114300" distR="114300" simplePos="0" relativeHeight="251661312" behindDoc="0" locked="0" layoutInCell="1" allowOverlap="1" wp14:anchorId="2D1108A9" wp14:editId="34AF98DA">
            <wp:simplePos x="0" y="0"/>
            <wp:positionH relativeFrom="margin">
              <wp:align>center</wp:align>
            </wp:positionH>
            <wp:positionV relativeFrom="paragraph">
              <wp:posOffset>189865</wp:posOffset>
            </wp:positionV>
            <wp:extent cx="3960495" cy="2238375"/>
            <wp:effectExtent l="19050" t="19050" r="20955" b="28575"/>
            <wp:wrapTopAndBottom/>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495" cy="22383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4982814B" w14:textId="7777777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EA6FBE1" w14:textId="77777777" w:rsidR="00533532" w:rsidRPr="00296B30" w:rsidRDefault="00533532" w:rsidP="00296B30">
      <w:pPr>
        <w:pStyle w:val="SemEspaamento"/>
      </w:pPr>
    </w:p>
    <w:p w14:paraId="5719B437" w14:textId="77777777"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102374C8" w14:textId="77777777" w:rsidR="004622F5" w:rsidRPr="004622F5" w:rsidRDefault="004622F5" w:rsidP="004622F5">
      <w:pPr>
        <w:spacing w:before="140" w:after="80"/>
        <w:rPr>
          <w:color w:val="0070C0"/>
          <w:sz w:val="24"/>
          <w:szCs w:val="24"/>
        </w:rPr>
      </w:pPr>
      <w:r>
        <w:rPr>
          <w:rFonts w:ascii="Times New Roman" w:eastAsia="Times New Roman" w:hAnsi="Times New Roman" w:cs="Times New Roman"/>
          <w:b/>
          <w:bCs/>
          <w:color w:val="0070C0"/>
          <w:sz w:val="24"/>
          <w:szCs w:val="24"/>
        </w:rPr>
        <w:t>3.1.   Análises por Fast Blue B + Análise Botânica + FTIR-ATR — Item c.</w:t>
      </w:r>
    </w:p>
    <w:p w14:paraId="3B43C51E" w14:textId="77777777" w:rsidR="004F3C53" w:rsidRPr="004F3C53" w:rsidRDefault="004622F5" w:rsidP="00CA7C8E">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t>Fast Blue B:</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as amostras apresentaram </w:t>
      </w:r>
      <w:r>
        <w:rPr>
          <w:rFonts w:ascii="Times New Roman" w:eastAsia="Times New Roman" w:hAnsi="Times New Roman" w:cs="Times New Roman"/>
          <w:b/>
          <w:bCs/>
          <w:sz w:val="24"/>
          <w:szCs w:val="24"/>
        </w:rPr>
        <w:t xml:space="preserve">PRESUNTIVO POSITIVO para </w:t>
      </w:r>
      <w:proofErr w:type="spellStart"/>
      <w:r>
        <w:rPr>
          <w:rFonts w:ascii="Times New Roman" w:eastAsia="Times New Roman" w:hAnsi="Times New Roman" w:cs="Times New Roman"/>
          <w:b/>
          <w:bCs/>
          <w:sz w:val="24"/>
          <w:szCs w:val="24"/>
        </w:rPr>
        <w:t>canabinoide</w:t>
      </w:r>
      <w:proofErr w:type="spellEnd"/>
      <w:r>
        <w:rPr>
          <w:rFonts w:ascii="Times New Roman" w:eastAsia="Times New Roman" w:hAnsi="Times New Roman" w:cs="Times New Roman"/>
          <w:b/>
          <w:bCs/>
          <w:sz w:val="24"/>
          <w:szCs w:val="24"/>
        </w:rPr>
        <w:t xml:space="preserve"> fenólico</w:t>
      </w:r>
      <w:r>
        <w:rPr>
          <w:rFonts w:ascii="Times New Roman" w:eastAsia="Times New Roman" w:hAnsi="Times New Roman" w:cs="Times New Roman"/>
          <w:sz w:val="24"/>
          <w:szCs w:val="24"/>
        </w:rPr>
        <w:t xml:space="preserve">, evidenciado pela formação de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compatível com produto de acoplamento azoaromático do Δ9-THC.</w:t>
      </w:r>
    </w:p>
    <w:p w14:paraId="31EDED09" w14:textId="77777777" w:rsidR="004F3C53" w:rsidRPr="004F3C53" w:rsidRDefault="004622F5" w:rsidP="00CA7C8E">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t>Análise macroscópico-botânica:</w:t>
      </w:r>
      <w:r>
        <w:rPr>
          <w:rFonts w:ascii="Times New Roman" w:eastAsia="Times New Roman" w:hAnsi="Times New Roman" w:cs="Times New Roman"/>
          <w:b/>
          <w:bCs/>
          <w:sz w:val="24"/>
          <w:szCs w:val="24"/>
        </w:rPr>
        <w:t xml:space="preserve"> </w:t>
      </w:r>
      <w:r>
        <w:rPr>
          <w:rFonts w:ascii="Times New Roman" w:eastAsia="Times New Roman" w:hAnsi="Times New Roman" w:cs="Times New Roman"/>
          <w:bCs/>
          <w:sz w:val="24"/>
          <w:szCs w:val="24"/>
        </w:rPr>
        <w:t>a</w:t>
      </w:r>
      <w:r>
        <w:rPr>
          <w:rFonts w:ascii="Times New Roman" w:hAnsi="Times New Roman" w:cs="Times New Roman"/>
          <w:sz w:val="24"/>
          <w:szCs w:val="24"/>
        </w:rPr>
        <w:t xml:space="preserve">presentou, no grau de preservação compatível com material vegetal ressecado e/ou prensado, caracteres Morfológicos consistentes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w:t>
      </w:r>
      <w:r>
        <w:rPr>
          <w:rFonts w:ascii="Times New Roman" w:hAnsi="Times New Roman" w:cs="Times New Roman"/>
          <w:b/>
          <w:sz w:val="24"/>
          <w:szCs w:val="24"/>
        </w:rPr>
        <w:t>(i)</w:t>
      </w:r>
      <w:r>
        <w:rPr>
          <w:rFonts w:ascii="Times New Roman" w:hAnsi="Times New Roman" w:cs="Times New Roman"/>
          <w:sz w:val="24"/>
          <w:szCs w:val="24"/>
        </w:rPr>
        <w:t xml:space="preserve"> fragmentos foliares com padrão de serrilhado assimétrico identificável sob lupa; </w:t>
      </w:r>
      <w:r>
        <w:rPr>
          <w:rFonts w:ascii="Times New Roman" w:hAnsi="Times New Roman" w:cs="Times New Roman"/>
          <w:b/>
          <w:sz w:val="24"/>
          <w:szCs w:val="24"/>
        </w:rPr>
        <w:t>(</w:t>
      </w:r>
      <w:proofErr w:type="spellStart"/>
      <w:r>
        <w:rPr>
          <w:rFonts w:ascii="Times New Roman" w:hAnsi="Times New Roman" w:cs="Times New Roman"/>
          <w:b/>
          <w:sz w:val="24"/>
          <w:szCs w:val="24"/>
        </w:rPr>
        <w:t>ii</w:t>
      </w:r>
      <w:proofErr w:type="spellEnd"/>
      <w:r>
        <w:rPr>
          <w:rFonts w:ascii="Times New Roman" w:hAnsi="Times New Roman" w:cs="Times New Roman"/>
          <w:b/>
          <w:sz w:val="24"/>
          <w:szCs w:val="24"/>
        </w:rPr>
        <w:t>)</w:t>
      </w:r>
      <w:r>
        <w:rPr>
          <w:rFonts w:ascii="Times New Roman" w:hAnsi="Times New Roman" w:cs="Times New Roman"/>
          <w:sz w:val="24"/>
          <w:szCs w:val="24"/>
        </w:rPr>
        <w:t xml:space="preserve"> estruturas compatíveis com tricomas glandulares colapsados e/ou depósito resinoso aderido à superfície; </w:t>
      </w:r>
      <w:r>
        <w:rPr>
          <w:rFonts w:ascii="Times New Roman" w:hAnsi="Times New Roman" w:cs="Times New Roman"/>
          <w:b/>
          <w:sz w:val="24"/>
          <w:szCs w:val="24"/>
        </w:rPr>
        <w:t>(</w:t>
      </w:r>
      <w:proofErr w:type="spellStart"/>
      <w:r>
        <w:rPr>
          <w:rFonts w:ascii="Times New Roman" w:hAnsi="Times New Roman" w:cs="Times New Roman"/>
          <w:b/>
          <w:sz w:val="24"/>
          <w:szCs w:val="24"/>
        </w:rPr>
        <w:t>iii</w:t>
      </w:r>
      <w:proofErr w:type="spellEnd"/>
      <w:r>
        <w:rPr>
          <w:rFonts w:ascii="Times New Roman" w:hAnsi="Times New Roman" w:cs="Times New Roman"/>
          <w:b/>
          <w:sz w:val="24"/>
          <w:szCs w:val="24"/>
        </w:rPr>
        <w:t>)</w:t>
      </w:r>
      <w:r>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e não compatível com espécies adulterantes conhecidas.</w:t>
      </w:r>
    </w:p>
    <w:p w14:paraId="0FAB43A5" w14:textId="77777777" w:rsidR="004622F5" w:rsidRPr="004F3C53" w:rsidRDefault="004622F5" w:rsidP="00CA7C8E">
      <w:pPr>
        <w:pStyle w:val="PargrafodaLista"/>
        <w:spacing w:before="80" w:after="80"/>
        <w:jc w:val="both"/>
        <w:rPr>
          <w:sz w:val="24"/>
          <w:szCs w:val="24"/>
        </w:rPr>
      </w:pPr>
      <w:r>
        <w:rPr>
          <w:rFonts w:ascii="Times New Roman" w:eastAsia="Times New Roman" w:hAnsi="Times New Roman" w:cs="Times New Roman"/>
          <w:b/>
          <w:color w:val="1F3864" w:themeColor="accent1" w:themeShade="80"/>
          <w:sz w:val="24"/>
          <w:szCs w:val="24"/>
        </w:rPr>
        <w:t>FTIR-ATR</w:t>
      </w:r>
      <w:r>
        <w:rPr>
          <w:rFonts w:ascii="Times New Roman" w:eastAsia="Times New Roman" w:hAnsi="Times New Roman" w:cs="Times New Roman"/>
          <w:color w:val="1F3864" w:themeColor="accent1" w:themeShade="80"/>
          <w:sz w:val="24"/>
          <w:szCs w:val="24"/>
        </w:rPr>
        <w:t>:</w:t>
      </w:r>
      <w:r>
        <w:rPr>
          <w:rFonts w:ascii="Times New Roman" w:eastAsia="Times New Roman" w:hAnsi="Times New Roman" w:cs="Times New Roman"/>
          <w:sz w:val="24"/>
          <w:szCs w:val="24"/>
        </w:rPr>
        <w:t xml:space="preserve"> Na análise por FTIR-ATR, o espectro obtido apresentou compatibilidade com o padrão de </w:t>
      </w:r>
      <w:r>
        <w:rPr>
          <w:rFonts w:ascii="Times New Roman" w:eastAsia="Times New Roman" w:hAnsi="Times New Roman" w:cs="Times New Roman"/>
          <w:b/>
          <w:bCs/>
          <w:sz w:val="24"/>
          <w:szCs w:val="24"/>
        </w:rPr>
        <w:t>Δ9-Tetrahidrocanabinol (Δ9-THC)</w:t>
      </w:r>
      <w:r>
        <w:rPr>
          <w:rFonts w:ascii="Times New Roman" w:eastAsia="Times New Roman" w:hAnsi="Times New Roman" w:cs="Times New Roman"/>
          <w:sz w:val="24"/>
          <w:szCs w:val="24"/>
        </w:rPr>
        <w:t xml:space="preserve"> em biblioteca de referência 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sz w:val="24"/>
          <w:szCs w:val="24"/>
        </w:rPr>
        <w:t xml:space="preserve">. Observou-se concordância com bandas espectrais diagnósticas atribuíveis ao </w:t>
      </w:r>
      <w:r>
        <w:rPr>
          <w:rFonts w:ascii="Times New Roman" w:eastAsia="Times New Roman" w:hAnsi="Times New Roman" w:cs="Times New Roman"/>
          <w:b/>
          <w:bCs/>
          <w:sz w:val="24"/>
          <w:szCs w:val="24"/>
        </w:rPr>
        <w:t>Δ9-THC</w:t>
      </w:r>
      <w:r>
        <w:rPr>
          <w:rFonts w:ascii="Times New Roman" w:eastAsia="Times New Roman" w:hAnsi="Times New Roman" w:cs="Times New Roman"/>
          <w:sz w:val="24"/>
          <w:szCs w:val="24"/>
        </w:rPr>
        <w:t xml:space="preserve">, nome IUPAC: </w:t>
      </w:r>
      <w:r>
        <w:rPr>
          <w:rFonts w:ascii="Times New Roman" w:eastAsia="Times New Roman" w:hAnsi="Times New Roman" w:cs="Times New Roman"/>
          <w:i/>
          <w:iCs/>
          <w:sz w:val="24"/>
          <w:szCs w:val="24"/>
        </w:rPr>
        <w:t>(</w:t>
      </w:r>
      <w:proofErr w:type="gramStart"/>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6aR,10aR)-6,6,9-trimetil-3-pentil-6a,7,8,10a-tetrahidro-6H-benzoc.piran-1-ol</w:t>
      </w:r>
      <w:r>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BF5F05" w:rsidRPr="00BF5F05" w14:paraId="0CBA7281" w14:textId="77777777" w:rsidTr="00C029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84ECE75" w14:textId="77777777" w:rsidR="004622F5" w:rsidRPr="00BF5F05" w:rsidRDefault="004622F5" w:rsidP="001C73AF">
            <w:pPr>
              <w:spacing w:before="40" w:after="40"/>
              <w:jc w:val="center"/>
            </w:pPr>
            <w:r>
              <w:rPr>
                <w:rFonts w:ascii="Times New Roman" w:eastAsia="Times New Roman" w:hAnsi="Times New Roman" w:cs="Times New Roman"/>
                <w:sz w:val="20"/>
                <w:szCs w:val="20"/>
              </w:rPr>
              <w:t>Região (cm⁻¹)</w:t>
            </w:r>
          </w:p>
        </w:tc>
        <w:tc>
          <w:tcPr>
            <w:tcW w:w="1700" w:type="dxa"/>
          </w:tcPr>
          <w:p w14:paraId="42533D37"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0E60313D"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1B4DA4DD"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4622F5" w14:paraId="4A19CCA0" w14:textId="77777777" w:rsidTr="00C029B7">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67C76586" w14:textId="77777777" w:rsidR="004622F5" w:rsidRDefault="004622F5" w:rsidP="001C73AF">
            <w:pPr>
              <w:spacing w:before="80" w:after="80"/>
              <w:jc w:val="center"/>
            </w:pPr>
            <w:r>
              <w:rPr>
                <w:rFonts w:ascii="Times New Roman" w:eastAsia="Times New Roman" w:hAnsi="Times New Roman" w:cs="Times New Roman"/>
                <w:sz w:val="20"/>
                <w:szCs w:val="20"/>
              </w:rPr>
              <w:t>~3500–3200</w:t>
            </w:r>
          </w:p>
        </w:tc>
        <w:tc>
          <w:tcPr>
            <w:tcW w:w="1700" w:type="dxa"/>
          </w:tcPr>
          <w:p w14:paraId="678EBB64"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9B7D2E0"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O–H fenólico — BANDA DIAGNÓSTICA PRIMÁRIA: ausente em </w:t>
            </w:r>
            <w:proofErr w:type="spellStart"/>
            <w:r>
              <w:rPr>
                <w:rFonts w:ascii="Times New Roman" w:eastAsia="Times New Roman" w:hAnsi="Times New Roman" w:cs="Times New Roman"/>
                <w:b/>
                <w:bCs/>
                <w:sz w:val="20"/>
                <w:szCs w:val="20"/>
              </w:rPr>
              <w:t>canabinoides</w:t>
            </w:r>
            <w:proofErr w:type="spellEnd"/>
            <w:r>
              <w:rPr>
                <w:rFonts w:ascii="Times New Roman" w:eastAsia="Times New Roman" w:hAnsi="Times New Roman" w:cs="Times New Roman"/>
                <w:b/>
                <w:bCs/>
                <w:sz w:val="20"/>
                <w:szCs w:val="20"/>
              </w:rPr>
              <w:t xml:space="preserve"> sem OH fenólico livre (THCA, CBC)</w:t>
            </w:r>
          </w:p>
        </w:tc>
        <w:tc>
          <w:tcPr>
            <w:tcW w:w="2851" w:type="dxa"/>
          </w:tcPr>
          <w:p w14:paraId="4C21DCA0"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4622F5" w14:paraId="5C903BDC"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5ACC028C" w14:textId="77777777" w:rsidR="004622F5" w:rsidRDefault="004622F5" w:rsidP="001C73AF">
            <w:pPr>
              <w:spacing w:before="80" w:after="80"/>
              <w:jc w:val="center"/>
            </w:pPr>
            <w:r>
              <w:rPr>
                <w:rFonts w:ascii="Times New Roman" w:eastAsia="Times New Roman" w:hAnsi="Times New Roman" w:cs="Times New Roman"/>
                <w:sz w:val="20"/>
                <w:szCs w:val="20"/>
              </w:rPr>
              <w:t>~1605–1580</w:t>
            </w:r>
          </w:p>
        </w:tc>
        <w:tc>
          <w:tcPr>
            <w:tcW w:w="1700" w:type="dxa"/>
          </w:tcPr>
          <w:p w14:paraId="5F8A8854"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09CE5B1"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C=C aromático — anel </w:t>
            </w:r>
            <w:proofErr w:type="spellStart"/>
            <w:r>
              <w:rPr>
                <w:rFonts w:ascii="Times New Roman" w:eastAsia="Times New Roman" w:hAnsi="Times New Roman" w:cs="Times New Roman"/>
                <w:sz w:val="20"/>
                <w:szCs w:val="20"/>
              </w:rPr>
              <w:t>resorcinólico</w:t>
            </w:r>
            <w:proofErr w:type="spellEnd"/>
          </w:p>
        </w:tc>
        <w:tc>
          <w:tcPr>
            <w:tcW w:w="2851" w:type="dxa"/>
          </w:tcPr>
          <w:p w14:paraId="7E2495B5"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4622F5" w14:paraId="259BF580"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455518C" w14:textId="77777777" w:rsidR="004622F5" w:rsidRDefault="004622F5" w:rsidP="001C73AF">
            <w:pPr>
              <w:spacing w:before="80" w:after="80"/>
              <w:jc w:val="center"/>
            </w:pPr>
            <w:r>
              <w:rPr>
                <w:rFonts w:ascii="Times New Roman" w:eastAsia="Times New Roman" w:hAnsi="Times New Roman" w:cs="Times New Roman"/>
                <w:sz w:val="20"/>
                <w:szCs w:val="20"/>
              </w:rPr>
              <w:t>1500–1450</w:t>
            </w:r>
          </w:p>
        </w:tc>
        <w:tc>
          <w:tcPr>
            <w:tcW w:w="1700" w:type="dxa"/>
          </w:tcPr>
          <w:p w14:paraId="78262D8A"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6BAE047C"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0DEF04E8"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61E8137B"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6B25F255" w14:textId="77777777" w:rsidR="004622F5" w:rsidRDefault="004622F5" w:rsidP="001C73AF">
            <w:pPr>
              <w:spacing w:before="80" w:after="80"/>
              <w:jc w:val="center"/>
            </w:pPr>
            <w:r>
              <w:rPr>
                <w:rFonts w:ascii="Times New Roman" w:eastAsia="Times New Roman" w:hAnsi="Times New Roman" w:cs="Times New Roman"/>
                <w:sz w:val="20"/>
                <w:szCs w:val="20"/>
              </w:rPr>
              <w:t>1250–1200</w:t>
            </w:r>
          </w:p>
        </w:tc>
        <w:tc>
          <w:tcPr>
            <w:tcW w:w="1700" w:type="dxa"/>
          </w:tcPr>
          <w:p w14:paraId="29CEA7FB"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780F20D2"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776B13EB"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4622F5" w14:paraId="3E206BD0"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1F40524B" w14:textId="77777777" w:rsidR="004622F5" w:rsidRDefault="004622F5" w:rsidP="001C73AF">
            <w:pPr>
              <w:spacing w:before="80" w:after="80"/>
              <w:jc w:val="center"/>
            </w:pPr>
            <w:r>
              <w:rPr>
                <w:rFonts w:ascii="Times New Roman" w:eastAsia="Times New Roman" w:hAnsi="Times New Roman" w:cs="Times New Roman"/>
                <w:sz w:val="20"/>
                <w:szCs w:val="20"/>
              </w:rPr>
              <w:t>1100–1050</w:t>
            </w:r>
          </w:p>
        </w:tc>
        <w:tc>
          <w:tcPr>
            <w:tcW w:w="1700" w:type="dxa"/>
          </w:tcPr>
          <w:p w14:paraId="01A1BD59"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34E9B85A"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C–O–C éter cíclico — ponte de oxigênio do anel </w:t>
            </w:r>
            <w:proofErr w:type="spellStart"/>
            <w:r>
              <w:rPr>
                <w:rFonts w:ascii="Times New Roman" w:eastAsia="Times New Roman" w:hAnsi="Times New Roman" w:cs="Times New Roman"/>
                <w:b/>
                <w:bCs/>
                <w:sz w:val="20"/>
                <w:szCs w:val="20"/>
              </w:rPr>
              <w:t>cromeno</w:t>
            </w:r>
            <w:proofErr w:type="spellEnd"/>
            <w:r>
              <w:rPr>
                <w:rFonts w:ascii="Times New Roman" w:eastAsia="Times New Roman" w:hAnsi="Times New Roman" w:cs="Times New Roman"/>
                <w:b/>
                <w:bCs/>
                <w:sz w:val="20"/>
                <w:szCs w:val="20"/>
              </w:rPr>
              <w:t>; diferencia THC de fenóis simples</w:t>
            </w:r>
          </w:p>
        </w:tc>
        <w:tc>
          <w:tcPr>
            <w:tcW w:w="2851" w:type="dxa"/>
          </w:tcPr>
          <w:p w14:paraId="0552374E"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4622F5" w14:paraId="14897F84"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7CD4DCCB" w14:textId="77777777" w:rsidR="004622F5" w:rsidRDefault="004622F5" w:rsidP="001C73AF">
            <w:pPr>
              <w:spacing w:before="80" w:after="80"/>
              <w:jc w:val="center"/>
            </w:pPr>
            <w:r>
              <w:rPr>
                <w:rFonts w:ascii="Times New Roman" w:eastAsia="Times New Roman" w:hAnsi="Times New Roman" w:cs="Times New Roman"/>
                <w:sz w:val="20"/>
                <w:szCs w:val="20"/>
              </w:rPr>
              <w:t>3000–2850</w:t>
            </w:r>
          </w:p>
        </w:tc>
        <w:tc>
          <w:tcPr>
            <w:tcW w:w="1700" w:type="dxa"/>
          </w:tcPr>
          <w:p w14:paraId="0D27522F"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888810F"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C–H alifático — cadeia </w:t>
            </w:r>
            <w:proofErr w:type="spellStart"/>
            <w:r>
              <w:rPr>
                <w:rFonts w:ascii="Times New Roman" w:eastAsia="Times New Roman" w:hAnsi="Times New Roman" w:cs="Times New Roman"/>
                <w:sz w:val="20"/>
                <w:szCs w:val="20"/>
              </w:rPr>
              <w:t>alquil</w:t>
            </w:r>
            <w:proofErr w:type="spellEnd"/>
            <w:r>
              <w:rPr>
                <w:rFonts w:ascii="Times New Roman" w:eastAsia="Times New Roman" w:hAnsi="Times New Roman" w:cs="Times New Roman"/>
                <w:sz w:val="20"/>
                <w:szCs w:val="20"/>
              </w:rPr>
              <w:t xml:space="preserve"> lateral (</w:t>
            </w:r>
            <w:proofErr w:type="spellStart"/>
            <w:r>
              <w:rPr>
                <w:rFonts w:ascii="Times New Roman" w:eastAsia="Times New Roman" w:hAnsi="Times New Roman" w:cs="Times New Roman"/>
                <w:sz w:val="20"/>
                <w:szCs w:val="20"/>
              </w:rPr>
              <w:t>pentil</w:t>
            </w:r>
            <w:proofErr w:type="spellEnd"/>
            <w:r>
              <w:rPr>
                <w:rFonts w:ascii="Times New Roman" w:eastAsia="Times New Roman" w:hAnsi="Times New Roman" w:cs="Times New Roman"/>
                <w:sz w:val="20"/>
                <w:szCs w:val="20"/>
              </w:rPr>
              <w:t>)</w:t>
            </w:r>
          </w:p>
        </w:tc>
        <w:tc>
          <w:tcPr>
            <w:tcW w:w="2851" w:type="dxa"/>
          </w:tcPr>
          <w:p w14:paraId="67CBE7D3"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4622F5" w14:paraId="16EDC18E" w14:textId="77777777" w:rsidTr="00C029B7">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79EDBA13" w14:textId="77777777" w:rsidR="004622F5" w:rsidRDefault="004622F5" w:rsidP="001C73AF">
            <w:pPr>
              <w:spacing w:before="80" w:after="80"/>
              <w:jc w:val="center"/>
            </w:pPr>
            <w:r>
              <w:rPr>
                <w:rFonts w:ascii="Times New Roman" w:eastAsia="Times New Roman" w:hAnsi="Times New Roman" w:cs="Times New Roman"/>
                <w:sz w:val="20"/>
                <w:szCs w:val="20"/>
              </w:rPr>
              <w:t>~3030</w:t>
            </w:r>
          </w:p>
        </w:tc>
        <w:tc>
          <w:tcPr>
            <w:tcW w:w="1700" w:type="dxa"/>
          </w:tcPr>
          <w:p w14:paraId="300863EA"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4CEDC8F8"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943BE70"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675168CF"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3A272985" w14:textId="77777777" w:rsidR="004622F5" w:rsidRDefault="004622F5" w:rsidP="001C73AF">
            <w:pPr>
              <w:spacing w:before="80" w:after="80"/>
              <w:jc w:val="center"/>
            </w:pPr>
            <w:r>
              <w:rPr>
                <w:rFonts w:ascii="Times New Roman" w:eastAsia="Times New Roman" w:hAnsi="Times New Roman" w:cs="Times New Roman"/>
                <w:sz w:val="20"/>
                <w:szCs w:val="20"/>
              </w:rPr>
              <w:lastRenderedPageBreak/>
              <w:t>~1375 e ~1460</w:t>
            </w:r>
          </w:p>
        </w:tc>
        <w:tc>
          <w:tcPr>
            <w:tcW w:w="1700" w:type="dxa"/>
          </w:tcPr>
          <w:p w14:paraId="0B70B15B"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7D50A1F5"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δ CH₃ simétrico e antissimétrico — grupos metila </w:t>
            </w:r>
            <w:proofErr w:type="spellStart"/>
            <w:r>
              <w:rPr>
                <w:rFonts w:ascii="Times New Roman" w:eastAsia="Times New Roman" w:hAnsi="Times New Roman" w:cs="Times New Roman"/>
                <w:sz w:val="20"/>
                <w:szCs w:val="20"/>
              </w:rPr>
              <w:t>gem</w:t>
            </w:r>
            <w:proofErr w:type="spellEnd"/>
            <w:r>
              <w:rPr>
                <w:rFonts w:ascii="Times New Roman" w:eastAsia="Times New Roman" w:hAnsi="Times New Roman" w:cs="Times New Roman"/>
                <w:sz w:val="20"/>
                <w:szCs w:val="20"/>
              </w:rPr>
              <w:t xml:space="preserve">-dimetil (C6) e </w:t>
            </w:r>
            <w:proofErr w:type="spellStart"/>
            <w:r>
              <w:rPr>
                <w:rFonts w:ascii="Times New Roman" w:eastAsia="Times New Roman" w:hAnsi="Times New Roman" w:cs="Times New Roman"/>
                <w:sz w:val="20"/>
                <w:szCs w:val="20"/>
              </w:rPr>
              <w:t>isopropenila</w:t>
            </w:r>
            <w:proofErr w:type="spellEnd"/>
            <w:r>
              <w:rPr>
                <w:rFonts w:ascii="Times New Roman" w:eastAsia="Times New Roman" w:hAnsi="Times New Roman" w:cs="Times New Roman"/>
                <w:sz w:val="20"/>
                <w:szCs w:val="20"/>
              </w:rPr>
              <w:t xml:space="preserve"> (C9)</w:t>
            </w:r>
          </w:p>
        </w:tc>
        <w:tc>
          <w:tcPr>
            <w:tcW w:w="2851" w:type="dxa"/>
          </w:tcPr>
          <w:p w14:paraId="19623329"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392EC0E4" w14:textId="77777777" w:rsidR="004622F5" w:rsidRDefault="004622F5" w:rsidP="00C029B7">
      <w:pPr>
        <w:spacing w:before="80" w:after="80"/>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Tabela 5. Bandas espectrais diagnósticas — FTIR-ATR — Δ9-THC. Bandas destacadas (ν O–H fenólico + ν C–O fenólico + ν C–O–C éter cíclico) são altamente específicas para Δ9-THC. Adaptado de UNODC (2009) e </w:t>
      </w:r>
      <w:proofErr w:type="spellStart"/>
      <w:r>
        <w:rPr>
          <w:rFonts w:ascii="Times New Roman" w:eastAsia="Times New Roman" w:hAnsi="Times New Roman" w:cs="Times New Roman"/>
          <w:i/>
          <w:iCs/>
          <w:sz w:val="20"/>
          <w:szCs w:val="20"/>
        </w:rPr>
        <w:t>Moffat</w:t>
      </w:r>
      <w:proofErr w:type="spellEnd"/>
      <w:r>
        <w:rPr>
          <w:rFonts w:ascii="Times New Roman" w:eastAsia="Times New Roman" w:hAnsi="Times New Roman" w:cs="Times New Roman"/>
          <w:i/>
          <w:iCs/>
          <w:sz w:val="20"/>
          <w:szCs w:val="20"/>
        </w:rPr>
        <w:t xml:space="preserve"> et al. (2011).</w:t>
      </w:r>
    </w:p>
    <w:p w14:paraId="51AAAFB0" w14:textId="77777777" w:rsidR="00273609" w:rsidRDefault="00273609" w:rsidP="004622F5">
      <w:pPr>
        <w:spacing w:before="80" w:after="80" w:line="276" w:lineRule="auto"/>
        <w:jc w:val="center"/>
      </w:pPr>
      <w:r>
        <w:rPr>
          <w:noProof/>
        </w:rPr>
        <w:drawing>
          <wp:inline distT="0" distB="0" distL="0" distR="0" wp14:anchorId="035E3564" wp14:editId="5032FA52">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1C22CA02" w14:textId="77777777" w:rsidR="00E57B80" w:rsidRPr="00E57B80" w:rsidRDefault="00E57B80" w:rsidP="00E57B80">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7DAC64BF" w14:textId="77777777" w:rsidR="00533532" w:rsidRPr="00B043CE" w:rsidRDefault="004A405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5"/>
      </w:r>
    </w:p>
    <w:p w14:paraId="59A1F22A" w14:textId="77777777" w:rsidR="00533532" w:rsidRPr="00B043CE" w:rsidRDefault="004A4051" w:rsidP="00C029B7">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34D41BFC" w14:textId="77777777" w:rsidR="00876B22" w:rsidRPr="00B043CE" w:rsidRDefault="00876B22" w:rsidP="00876B22">
      <w:pPr>
        <w:rPr>
          <w:sz w:val="24"/>
          <w:szCs w:val="24"/>
        </w:rPr>
      </w:pPr>
    </w:p>
    <w:tbl>
      <w:tblPr>
        <w:tblStyle w:val="TabeladeGrade4-nfase1"/>
        <w:tblW w:w="9638" w:type="dxa"/>
        <w:tblLook w:val="04A0" w:firstRow="1" w:lastRow="0" w:firstColumn="1" w:lastColumn="0" w:noHBand="0" w:noVBand="1"/>
      </w:tblPr>
      <w:tblGrid>
        <w:gridCol w:w="9638"/>
      </w:tblGrid>
      <w:tr w:rsidR="00876B22" w:rsidRPr="00B043CE" w14:paraId="377001B3"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48426D82" w14:textId="77777777" w:rsidR="00876B22" w:rsidRPr="00B043CE" w:rsidRDefault="00E57B80" w:rsidP="004F641C">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876B22" w:rsidRPr="00B043CE" w14:paraId="3940C060"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EFDF1F6" w14:textId="77777777" w:rsidR="00876B22" w:rsidRPr="00505BB0" w:rsidRDefault="00876B22" w:rsidP="009F19ED">
            <w:pPr>
              <w:spacing w:before="80" w:after="80"/>
              <w:jc w:val="both"/>
              <w:rPr>
                <w:b w:val="0"/>
                <w:bCs w:val="0"/>
                <w:sz w:val="24"/>
                <w:szCs w:val="24"/>
              </w:rPr>
            </w:pPr>
            <w:r>
              <w:rPr>
                <w:rFonts w:ascii="Times New Roman" w:eastAsia="Times New Roman" w:hAnsi="Times New Roman" w:cs="Times New Roman"/>
                <w:b w:val="0"/>
                <w:bCs w:val="0"/>
                <w:sz w:val="24"/>
                <w:szCs w:val="24"/>
              </w:rPr>
              <w:t xml:space="preserve">A análise realizada </w:t>
            </w:r>
            <w:r>
              <w:rPr>
                <w:rFonts w:ascii="Times New Roman" w:eastAsia="Times New Roman" w:hAnsi="Times New Roman" w:cs="Times New Roman"/>
                <w:sz w:val="24"/>
                <w:szCs w:val="24"/>
              </w:rPr>
              <w:t>DETECTOU</w:t>
            </w:r>
            <w:r>
              <w:rPr>
                <w:rFonts w:ascii="Times New Roman" w:eastAsia="Times New Roman" w:hAnsi="Times New Roman" w:cs="Times New Roman"/>
                <w:b w:val="0"/>
                <w:bCs w:val="0"/>
                <w:sz w:val="24"/>
                <w:szCs w:val="24"/>
              </w:rPr>
              <w:t xml:space="preserve"> a presença de </w:t>
            </w:r>
            <w:r>
              <w:rPr>
                <w:rFonts w:ascii="Times New Roman" w:eastAsia="Times New Roman" w:hAnsi="Times New Roman" w:cs="Times New Roman"/>
                <w:sz w:val="24"/>
                <w:szCs w:val="24"/>
              </w:rPr>
              <w:t>Δ9-Tetrahidrocanabinol (Δ9-THC)</w:t>
            </w:r>
            <w:r>
              <w:rPr>
                <w:rFonts w:ascii="Times New Roman" w:eastAsia="Times New Roman" w:hAnsi="Times New Roman" w:cs="Times New Roman"/>
                <w:b w:val="0"/>
                <w:bCs w:val="0"/>
                <w:sz w:val="24"/>
                <w:szCs w:val="24"/>
              </w:rPr>
              <w:t xml:space="preserve"> (C₂₁H₃₀O₂; PM 314,4 g/mol) no material vegetal examinado.</w:t>
            </w:r>
          </w:p>
          <w:p w14:paraId="4F386493"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41773F0F" w14:textId="77777777" w:rsidR="00E57B80" w:rsidRPr="00505BB0" w:rsidRDefault="00876B22" w:rsidP="009F19ED">
            <w:pPr>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Pr>
                <w:rFonts w:ascii="Times New Roman" w:eastAsia="Times New Roman" w:hAnsi="Times New Roman" w:cs="Times New Roman"/>
                <w:b w:val="0"/>
                <w:bCs w:val="0"/>
                <w:i/>
                <w:sz w:val="24"/>
                <w:szCs w:val="24"/>
              </w:rPr>
              <w:t>Cannabis sp.</w:t>
            </w:r>
            <w:r>
              <w:rPr>
                <w:rFonts w:ascii="Times New Roman" w:eastAsia="Times New Roman" w:hAnsi="Times New Roman" w:cs="Times New Roman"/>
                <w:b w:val="0"/>
                <w:bCs w:val="0"/>
                <w:sz w:val="24"/>
                <w:szCs w:val="24"/>
              </w:rPr>
              <w:t xml:space="preserve"> </w:t>
            </w:r>
          </w:p>
          <w:p w14:paraId="16BAEC42"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1C06503C" w14:textId="77777777" w:rsidR="00876B22" w:rsidRPr="00505BB0" w:rsidRDefault="00876B22" w:rsidP="009F19ED">
            <w:pPr>
              <w:spacing w:before="80" w:after="80"/>
              <w:jc w:val="both"/>
              <w:rPr>
                <w:b w:val="0"/>
                <w:bCs w:val="0"/>
                <w:sz w:val="24"/>
                <w:szCs w:val="24"/>
              </w:rPr>
            </w:pPr>
            <w:r>
              <w:rPr>
                <w:rFonts w:ascii="Times New Roman" w:eastAsia="Times New Roman" w:hAnsi="Times New Roman" w:cs="Times New Roman"/>
                <w:b w:val="0"/>
                <w:bCs w:val="0"/>
                <w:sz w:val="24"/>
                <w:szCs w:val="24"/>
              </w:rPr>
              <w:t xml:space="preserve">O </w:t>
            </w:r>
            <w:r>
              <w:rPr>
                <w:rFonts w:ascii="Times New Roman" w:eastAsia="Times New Roman" w:hAnsi="Times New Roman" w:cs="Times New Roman"/>
                <w:sz w:val="24"/>
                <w:szCs w:val="24"/>
              </w:rPr>
              <w:t>Δ9-THC</w:t>
            </w:r>
            <w:r>
              <w:rPr>
                <w:rFonts w:ascii="Times New Roman" w:eastAsia="Times New Roman" w:hAnsi="Times New Roman" w:cs="Times New Roman"/>
                <w:b w:val="0"/>
                <w:bCs w:val="0"/>
                <w:sz w:val="24"/>
                <w:szCs w:val="24"/>
              </w:rPr>
              <w:t xml:space="preserve"> possui propriedades entorpecentes/psicotrópicas reconhecidas, encontrando-se relacionado na </w:t>
            </w:r>
            <w:r>
              <w:rPr>
                <w:rFonts w:ascii="Times New Roman" w:eastAsia="Times New Roman" w:hAnsi="Times New Roman" w:cs="Times New Roman"/>
                <w:sz w:val="24"/>
                <w:szCs w:val="24"/>
              </w:rPr>
              <w:t>Lista F2</w:t>
            </w:r>
            <w:r>
              <w:rPr>
                <w:rFonts w:ascii="Times New Roman" w:eastAsia="Times New Roman" w:hAnsi="Times New Roman" w:cs="Times New Roman"/>
                <w:b w:val="0"/>
                <w:bCs w:val="0"/>
                <w:sz w:val="24"/>
                <w:szCs w:val="24"/>
              </w:rPr>
              <w:t xml:space="preserve"> — </w:t>
            </w:r>
            <w:r w:rsidRPr="00F05065">
              <w:rPr>
                <w:rFonts w:ascii="Times New Roman" w:eastAsia="Times New Roman" w:hAnsi="Times New Roman" w:cs="Times New Roman"/>
                <w:b w:val="0"/>
                <w:bCs w:val="0"/>
                <w:i/>
                <w:iCs/>
                <w:sz w:val="24"/>
                <w:szCs w:val="24"/>
              </w:rPr>
              <w:t>Cannabis</w:t>
            </w:r>
            <w:r>
              <w:rPr>
                <w:rFonts w:ascii="Times New Roman" w:eastAsia="Times New Roman" w:hAnsi="Times New Roman" w:cs="Times New Roman"/>
                <w:b w:val="0"/>
                <w:bCs w:val="0"/>
                <w:sz w:val="24"/>
                <w:szCs w:val="24"/>
              </w:rPr>
              <w:t xml:space="preserve"> e seus derivados, de uso proscrito no Brasil da Portaria SVS/MS nº 344, de 12/05/1998 e atualizações posteriores (ANVISA). </w:t>
            </w:r>
          </w:p>
        </w:tc>
      </w:tr>
    </w:tbl>
    <w:p w14:paraId="0420EDA8" w14:textId="77777777" w:rsidR="00876B22" w:rsidRPr="00B043CE" w:rsidRDefault="00876B22" w:rsidP="00876B22">
      <w:pPr>
        <w:rPr>
          <w:sz w:val="24"/>
          <w:szCs w:val="24"/>
        </w:rPr>
      </w:pPr>
    </w:p>
    <w:p w14:paraId="7E4A0425" w14:textId="7777777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788DEF88"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4C96A62C"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82B2A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072802"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499FD5B9"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A71D0D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0B6555F9"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Pr>
                <w:rFonts w:ascii="Times New Roman" w:hAnsi="Times New Roman" w:cs="Times New Roman"/>
                <w:b/>
                <w:sz w:val="20"/>
                <w:szCs w:val="20"/>
              </w:rPr>
              <w:t>[DEMANDA]</w:t>
            </w:r>
          </w:p>
        </w:tc>
      </w:tr>
      <w:tr w:rsidR="00533532" w:rsidRPr="00C371C9" w14:paraId="78A0D31A"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13D6F0C1"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37DEC7B9"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1129343C"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CCF96E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52DD5C42"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6258E0DD"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74C5969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5B302DC6" w14:textId="22A0CF10" w:rsidR="00533532" w:rsidRPr="00C371C9" w:rsidRDefault="00F05065"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14</w:t>
            </w:r>
            <w:r w:rsidR="004A4051">
              <w:rPr>
                <w:rFonts w:ascii="Times New Roman" w:hAnsi="Times New Roman" w:cs="Times New Roman"/>
                <w:sz w:val="20"/>
                <w:szCs w:val="20"/>
              </w:rPr>
              <w:t xml:space="preserve"> de maio de 2026</w:t>
            </w:r>
          </w:p>
        </w:tc>
      </w:tr>
      <w:tr w:rsidR="00533532" w:rsidRPr="00C371C9" w14:paraId="64AB4320" w14:textId="77777777" w:rsidTr="00505BB0">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6B7799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7C17B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2A1EDDCF"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193AFED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7502EC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67097040"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D30286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3B8B38A9"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Pr>
                <w:rFonts w:ascii="Times New Roman" w:hAnsi="Times New Roman" w:cs="Times New Roman"/>
                <w:b/>
                <w:sz w:val="20"/>
                <w:szCs w:val="20"/>
              </w:rPr>
              <w:t>[ENVOLVIDO] — CPF [CPF]</w:t>
            </w:r>
          </w:p>
        </w:tc>
      </w:tr>
      <w:tr w:rsidR="00533532" w:rsidRPr="00C371C9" w14:paraId="4E6FFD12"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702444A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3A6BA399"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 – PARNAÍBA/PI</w:t>
            </w:r>
          </w:p>
        </w:tc>
      </w:tr>
    </w:tbl>
    <w:p w14:paraId="394C893C" w14:textId="77777777" w:rsidR="00533532" w:rsidRPr="00C371C9" w:rsidRDefault="00533532" w:rsidP="00C371C9">
      <w:pPr>
        <w:rPr>
          <w:rFonts w:ascii="Times New Roman" w:hAnsi="Times New Roman" w:cs="Times New Roman"/>
        </w:rPr>
      </w:pPr>
    </w:p>
    <w:p w14:paraId="483999A3"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lastRenderedPageBreak/>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7C191AAB"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4C7F00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6551543A"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122B9DDC"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A211E0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138937BA"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13CA7C9F"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2E53B8B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5CE33739"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3D40803"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A1B9D5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70706B5F"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476758D9"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18440F2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0606A151"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[DEMANDA_PRELIM]</w:t>
            </w:r>
          </w:p>
        </w:tc>
      </w:tr>
      <w:tr w:rsidR="00533532" w:rsidRPr="00C371C9" w14:paraId="49D0047F"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2C84E0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39674508"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[ENV_POS_PRELIM]</w:t>
            </w:r>
          </w:p>
        </w:tc>
      </w:tr>
      <w:tr w:rsidR="00533532" w:rsidRPr="00C371C9" w14:paraId="7F7273FF"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4C4945A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320185B0"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1B40EB97"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4D8ED4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7113AF8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1D51993F"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249ABFE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5FC17FD3"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5E70C653" w14:textId="77777777" w:rsidR="00533532" w:rsidRPr="00C371C9" w:rsidRDefault="00533532" w:rsidP="00C371C9">
      <w:pPr>
        <w:rPr>
          <w:rFonts w:ascii="Times New Roman" w:hAnsi="Times New Roman" w:cs="Times New Roman"/>
        </w:rPr>
      </w:pPr>
    </w:p>
    <w:p w14:paraId="27754016"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3256"/>
        <w:gridCol w:w="6382"/>
      </w:tblGrid>
      <w:tr w:rsidR="00533532" w:rsidRPr="00C371C9" w14:paraId="21C19976" w14:textId="77777777" w:rsidTr="008D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8284EF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382" w:type="dxa"/>
          </w:tcPr>
          <w:p w14:paraId="1D6AB57F"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2F7AF0BC" w14:textId="77777777" w:rsidTr="008D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B2912E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382" w:type="dxa"/>
          </w:tcPr>
          <w:p w14:paraId="11C78D0D" w14:textId="77777777" w:rsidR="00533532" w:rsidRPr="00C371C9" w:rsidRDefault="004A4051" w:rsidP="005C7103">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(item c.)</w:t>
            </w:r>
          </w:p>
        </w:tc>
      </w:tr>
      <w:tr w:rsidR="00533532" w:rsidRPr="00C371C9" w14:paraId="20BDBF0C" w14:textId="77777777" w:rsidTr="008D1C30">
        <w:tc>
          <w:tcPr>
            <w:cnfStyle w:val="001000000000" w:firstRow="0" w:lastRow="0" w:firstColumn="1" w:lastColumn="0" w:oddVBand="0" w:evenVBand="0" w:oddHBand="0" w:evenHBand="0" w:firstRowFirstColumn="0" w:firstRowLastColumn="0" w:lastRowFirstColumn="0" w:lastRowLastColumn="0"/>
            <w:tcW w:w="3256" w:type="dxa"/>
          </w:tcPr>
          <w:p w14:paraId="1A721AF1"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382" w:type="dxa"/>
          </w:tcPr>
          <w:p w14:paraId="26803D55" w14:textId="77777777"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Fast Blue B (Cat. </w:t>
            </w:r>
            <w:r>
              <w:rPr>
                <w:rFonts w:ascii="Times New Roman" w:hAnsi="Times New Roman" w:cs="Times New Roman"/>
                <w:sz w:val="20"/>
                <w:szCs w:val="20"/>
              </w:rPr>
              <w:t>C/SWGDRUG) + Análise Botânica + FTIR-ATR (Cat. A/SWGDRUG)</w:t>
            </w:r>
          </w:p>
        </w:tc>
      </w:tr>
      <w:tr w:rsidR="00505BB0" w:rsidRPr="00C371C9" w14:paraId="3EA2E85F" w14:textId="77777777" w:rsidTr="008D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2A56E8AE" w14:textId="77777777" w:rsidR="00505BB0" w:rsidRPr="00C371C9" w:rsidRDefault="00505BB0" w:rsidP="00505BB0">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382" w:type="dxa"/>
          </w:tcPr>
          <w:p w14:paraId="63293353" w14:textId="77777777" w:rsidR="00505BB0" w:rsidRPr="00C371C9" w:rsidRDefault="00505BB0" w:rsidP="00505BB0">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505BB0" w:rsidRPr="00C371C9" w14:paraId="70FD7FD2" w14:textId="77777777" w:rsidTr="008D1C30">
        <w:tc>
          <w:tcPr>
            <w:cnfStyle w:val="001000000000" w:firstRow="0" w:lastRow="0" w:firstColumn="1" w:lastColumn="0" w:oddVBand="0" w:evenVBand="0" w:oddHBand="0" w:evenHBand="0" w:firstRowFirstColumn="0" w:firstRowLastColumn="0" w:lastRowFirstColumn="0" w:lastRowLastColumn="0"/>
            <w:tcW w:w="3256" w:type="dxa"/>
          </w:tcPr>
          <w:p w14:paraId="0AB94999" w14:textId="77777777" w:rsidR="00505BB0" w:rsidRPr="00C371C9" w:rsidRDefault="00505BB0" w:rsidP="00505BB0">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382" w:type="dxa"/>
          </w:tcPr>
          <w:p w14:paraId="01493832" w14:textId="77777777" w:rsidR="00505BB0" w:rsidRPr="00C371C9" w:rsidRDefault="00505BB0" w:rsidP="00505BB0">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481D9B31" w14:textId="77777777" w:rsidR="00533532" w:rsidRPr="00C371C9" w:rsidRDefault="00533532" w:rsidP="00C371C9">
      <w:pPr>
        <w:rPr>
          <w:rFonts w:ascii="Times New Roman" w:hAnsi="Times New Roman" w:cs="Times New Roman"/>
        </w:rPr>
      </w:pPr>
    </w:p>
    <w:p w14:paraId="32D78E94" w14:textId="77777777"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12858D33" w14:textId="77777777"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2886914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812484"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6E62CB3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5F1B196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2DAB74F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25B3FA8F"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04A001F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0978152F"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5ED1653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2225EC1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23DE1B46"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1AC910C4"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E94FBD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48ED36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1651F8C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61C0DD2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3EF00CBC"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1A2568A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282CBF23"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57AD6DD7" w14:textId="77777777" w:rsidR="00FF0001" w:rsidRDefault="007F2AE6">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Polícia Civil do Estado do Piauí. Portaria nº 56-GDG/AN/2021, de 16 de setembro</w:t>
      </w:r>
      <w:r>
        <w:rPr>
          <w:rFonts w:ascii="Times New Roman" w:hAnsi="Times New Roman" w:cs="Times New Roman"/>
          <w:sz w:val="16"/>
          <w:szCs w:val="16"/>
        </w:rPr>
        <w:t xml:space="preserve"> de 2021. Dispõe sobre procedimentos de apreensão, exame de constatação, laudo definitivo, contraprova e incineração de drogas no âmbito da PC-PI. Teresina: PC-PI, 2021. SEI nº 2393293.</w:t>
      </w:r>
    </w:p>
    <w:p w14:paraId="335BBFED" w14:textId="77777777" w:rsidR="00FF0001" w:rsidRDefault="007F2AE6">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lastRenderedPageBreak/>
        <w:t>PIAUÍ. Secretaria de Segurança Pública. Instrução Normativa nº 04/2025</w:t>
      </w:r>
      <w:r>
        <w:rPr>
          <w:rFonts w:ascii="Times New Roman" w:hAnsi="Times New Roman" w:cs="Times New Roman"/>
          <w:sz w:val="16"/>
          <w:szCs w:val="16"/>
        </w:rPr>
        <w:t>/SSP/PI, de 22 de novembro de 2025. Regula a integração DEPOC/PC-PI e a cadeia de custódia de vestígios. Diário Oficial do Estado do Piauí, n. 229, 28 nov. 2025.</w:t>
      </w:r>
    </w:p>
    <w:p w14:paraId="61DEB35F" w14:textId="77777777" w:rsidR="00FF0001" w:rsidRDefault="007F2AE6">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Departamento de Polícia Científica. ITU-01/2024/CCV-DEPOC, de 21 de outubro de 2024. In</w:t>
      </w:r>
      <w:r>
        <w:rPr>
          <w:rFonts w:ascii="Times New Roman" w:hAnsi="Times New Roman" w:cs="Times New Roman"/>
          <w:sz w:val="16"/>
          <w:szCs w:val="16"/>
        </w:rPr>
        <w:t>strução Técnica sobre embalagens-padrão rastreáveis e formulário de avaliação de vestígios (FAV). Teresina: DEPOC/PC-PI, 2024.</w:t>
      </w:r>
    </w:p>
    <w:p w14:paraId="37944045"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D725B1A" w14:textId="68313F88"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8B42A0">
        <w:rPr>
          <w:rFonts w:ascii="Times New Roman" w:hAnsi="Times New Roman" w:cs="Times New Roman"/>
          <w:b/>
          <w:bCs/>
          <w:sz w:val="24"/>
          <w:szCs w:val="24"/>
        </w:rPr>
        <w:t>8</w:t>
      </w:r>
      <w:r>
        <w:rPr>
          <w:rFonts w:ascii="Times New Roman" w:hAnsi="Times New Roman" w:cs="Times New Roman"/>
          <w:sz w:val="24"/>
          <w:szCs w:val="24"/>
        </w:rPr>
        <w:t xml:space="preserve"> página(s), segue assinado pelo seu relator.</w:t>
      </w:r>
    </w:p>
    <w:p w14:paraId="371DCB96" w14:textId="77777777" w:rsidR="00533532" w:rsidRPr="00C371C9" w:rsidRDefault="00533532" w:rsidP="00C371C9">
      <w:pPr>
        <w:jc w:val="both"/>
        <w:rPr>
          <w:rFonts w:ascii="Times New Roman" w:hAnsi="Times New Roman" w:cs="Times New Roman"/>
          <w:sz w:val="24"/>
          <w:szCs w:val="24"/>
        </w:rPr>
      </w:pPr>
    </w:p>
    <w:p w14:paraId="0D181CDA"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71178520"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2E5B03BA"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74AACE02"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57AE21F4" w14:textId="77777777" w:rsidR="00533532" w:rsidRPr="00C371C9" w:rsidRDefault="00533532" w:rsidP="00C371C9">
      <w:pPr>
        <w:rPr>
          <w:rFonts w:ascii="Times New Roman" w:hAnsi="Times New Roman" w:cs="Times New Roman"/>
        </w:rPr>
      </w:pPr>
    </w:p>
    <w:sectPr w:rsidR="00533532" w:rsidRPr="00C371C9" w:rsidSect="00F07CCF">
      <w:headerReference w:type="default" r:id="rId13"/>
      <w:headerReference w:type="first" r:id="rId14"/>
      <w:footerReference w:type="first" r:id="rId15"/>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CC04E5" w14:textId="77777777" w:rsidR="007F2AE6" w:rsidRDefault="007F2AE6">
      <w:r>
        <w:separator/>
      </w:r>
    </w:p>
  </w:endnote>
  <w:endnote w:type="continuationSeparator" w:id="0">
    <w:p w14:paraId="0A3826D2" w14:textId="77777777" w:rsidR="007F2AE6" w:rsidRDefault="007F2A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E29902" w14:textId="77777777" w:rsidR="008E04B3" w:rsidRDefault="008E04B3">
    <w:pPr>
      <w:pStyle w:val="Rodap"/>
    </w:pPr>
    <w:r>
      <w:rPr>
        <w:noProof/>
      </w:rPr>
      <w:drawing>
        <wp:anchor distT="0" distB="0" distL="114300" distR="114300" simplePos="0" relativeHeight="251664384" behindDoc="0" locked="0" layoutInCell="1" allowOverlap="1" wp14:anchorId="446E9162" wp14:editId="60CC2D00">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8586A8" w14:textId="77777777" w:rsidR="007F2AE6" w:rsidRDefault="007F2AE6">
      <w:r>
        <w:separator/>
      </w:r>
    </w:p>
  </w:footnote>
  <w:footnote w:type="continuationSeparator" w:id="0">
    <w:p w14:paraId="75E7E43B" w14:textId="77777777" w:rsidR="007F2AE6" w:rsidRDefault="007F2AE6">
      <w:r>
        <w:continuationSeparator/>
      </w:r>
    </w:p>
  </w:footnote>
  <w:footnote w:id="1">
    <w:p w14:paraId="13E74606" w14:textId="77777777"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2A7612AC" w14:textId="77777777" w:rsidR="007A6B49" w:rsidRPr="00F755A6" w:rsidRDefault="007A6B49" w:rsidP="007A6B49">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 xml:space="preserve">Cannabis </w:t>
      </w:r>
      <w:proofErr w:type="gramStart"/>
      <w:r w:rsidRPr="00F755A6">
        <w:rPr>
          <w:rFonts w:ascii="Times New Roman" w:eastAsia="Times New Roman" w:hAnsi="Times New Roman" w:cs="Times New Roman"/>
          <w:i/>
          <w:sz w:val="16"/>
          <w:szCs w:val="16"/>
        </w:rPr>
        <w:t>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w:t>
      </w:r>
      <w:proofErr w:type="gramEnd"/>
      <w:r w:rsidRPr="00F755A6">
        <w:rPr>
          <w:rFonts w:ascii="Times New Roman" w:eastAsia="Times New Roman" w:hAnsi="Times New Roman" w:cs="Times New Roman"/>
          <w:sz w:val="16"/>
          <w:szCs w:val="16"/>
        </w:rPr>
        <w:t xml:space="preserve">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Pr>
          <w:rFonts w:ascii="Times New Roman" w:eastAsia="Times New Roman" w:hAnsi="Times New Roman" w:cs="Times New Roman"/>
          <w:sz w:val="16"/>
          <w:szCs w:val="16"/>
        </w:rPr>
        <w:t>.</w:t>
      </w:r>
    </w:p>
  </w:footnote>
  <w:footnote w:id="3">
    <w:p w14:paraId="0EB716B2" w14:textId="77777777" w:rsidR="007A6B49" w:rsidRPr="007A6B49" w:rsidRDefault="007A6B49" w:rsidP="007A6B49">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4">
    <w:p w14:paraId="20EE65B6" w14:textId="77777777" w:rsidR="008E04B3" w:rsidRPr="007A6772"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6B5878">
        <w:rPr>
          <w:rFonts w:ascii="Times New Roman" w:hAnsi="Times New Roman" w:cs="Times New Roman"/>
          <w:sz w:val="16"/>
          <w:szCs w:val="16"/>
          <w:lang w:val="en-US"/>
        </w:rPr>
        <w:t xml:space="preserve"> </w:t>
      </w:r>
      <w:r w:rsidRPr="007A6772">
        <w:rPr>
          <w:rFonts w:ascii="Times New Roman" w:hAnsi="Times New Roman" w:cs="Times New Roman"/>
          <w:sz w:val="16"/>
          <w:szCs w:val="16"/>
          <w:lang w:val="en-US"/>
        </w:rPr>
        <w:t xml:space="preserve">Ref.: Smith, B.C. Infrared Spectral Interpretation: A Systematic Approach. </w:t>
      </w:r>
      <w:r w:rsidRPr="007A6772">
        <w:rPr>
          <w:rFonts w:ascii="Times New Roman" w:hAnsi="Times New Roman" w:cs="Times New Roman"/>
          <w:sz w:val="16"/>
          <w:szCs w:val="16"/>
        </w:rPr>
        <w:t>CRC Press, 1999. SENASP/MJ. POP nº 9.09. Brasília: MJSP, 2024.</w:t>
      </w:r>
    </w:p>
  </w:footnote>
  <w:footnote w:id="5">
    <w:p w14:paraId="74C0AFAF" w14:textId="77777777" w:rsidR="00C223E1" w:rsidRPr="00C223E1" w:rsidRDefault="00C223E1" w:rsidP="00F05065">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9E5861" w14:textId="7E457138" w:rsidR="008E04B3" w:rsidRPr="00B674A3" w:rsidRDefault="008E04B3" w:rsidP="00B674A3">
    <w:pPr>
      <w:jc w:val="center"/>
      <w:rPr>
        <w:rFonts w:ascii="Times New Roman" w:hAnsi="Times New Roman" w:cs="Times New Roman"/>
        <w:sz w:val="20"/>
        <w:szCs w:val="20"/>
      </w:rPr>
    </w:pPr>
    <w:r w:rsidRPr="00776EA1">
      <w:rPr>
        <w:rFonts w:ascii="Times New Roman" w:hAnsi="Times New Roman" w:cs="Times New Roman"/>
        <w:b/>
        <w:sz w:val="20"/>
        <w:szCs w:val="20"/>
      </w:rPr>
      <w:t>NRPC/PHB</w:t>
    </w:r>
    <w:r w:rsidRPr="00B674A3">
      <w:rPr>
        <w:rFonts w:ascii="Times New Roman" w:hAnsi="Times New Roman" w:cs="Times New Roman"/>
        <w:sz w:val="20"/>
        <w:szCs w:val="20"/>
      </w:rPr>
      <w:t xml:space="preserve"> — Setor de Química Forense   |   </w:t>
    </w:r>
    <w:r w:rsidRPr="00220EE2">
      <w:rPr>
        <w:rFonts w:ascii="Times New Roman" w:hAnsi="Times New Roman" w:cs="Times New Roman"/>
        <w:bCs/>
        <w:sz w:val="20"/>
        <w:szCs w:val="20"/>
      </w:rPr>
      <w:t>Demanda</w:t>
    </w:r>
    <w:r w:rsidRPr="00776EA1">
      <w:rPr>
        <w:rFonts w:ascii="Times New Roman" w:hAnsi="Times New Roman" w:cs="Times New Roman"/>
        <w:b/>
        <w:sz w:val="20"/>
        <w:szCs w:val="20"/>
      </w:rPr>
      <w:t xml:space="preserve"> </w:t>
    </w:r>
    <w:r w:rsidR="00F05065">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PAGE</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[N]</w:t>
    </w:r>
    <w:r w:rsidRPr="00776EA1">
      <w:rPr>
        <w:rFonts w:ascii="Times New Roman" w:hAnsi="Times New Roman" w:cs="Times New Roman"/>
        <w:b/>
        <w:sz w:val="20"/>
        <w:szCs w:val="20"/>
      </w:rPr>
      <w:fldChar w:fldCharType="end"/>
    </w:r>
    <w:r w:rsidRPr="00B674A3">
      <w:rPr>
        <w:rFonts w:ascii="Times New Roman" w:hAnsi="Times New Roman" w:cs="Times New Roman"/>
        <w:sz w:val="20"/>
        <w:szCs w:val="20"/>
      </w:rPr>
      <w:t xml:space="preserve"> de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NUMPAGES</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[N]</w:t>
    </w:r>
    <w:r w:rsidRPr="00776EA1">
      <w:rPr>
        <w:rFonts w:ascii="Times New Roman" w:hAnsi="Times New Roman" w:cs="Times New Roman"/>
        <w:b/>
        <w:sz w:val="20"/>
        <w:szCs w:val="20"/>
      </w:rPr>
      <w:fldChar w:fldCharType="end"/>
    </w:r>
  </w:p>
  <w:p w14:paraId="5BB146EC"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40B1D1B5" w14:textId="77777777" w:rsidTr="008E04B3">
      <w:tc>
        <w:tcPr>
          <w:tcW w:w="1110" w:type="dxa"/>
          <w:vAlign w:val="center"/>
          <w:hideMark/>
        </w:tcPr>
        <w:p w14:paraId="3C418EFD"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0CB045A" wp14:editId="7772C7FC">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3A175C73"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096EFFD8" wp14:editId="0259A729">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D4267C4"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6793A8B0"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26BB43A7"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91F1DBA" w14:textId="77777777" w:rsidR="008E04B3" w:rsidRPr="008F170F" w:rsidRDefault="007F2AE6"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39C47463" w14:textId="77777777" w:rsidR="008E04B3" w:rsidRPr="008F170F" w:rsidRDefault="008E04B3" w:rsidP="00572A17">
          <w:pPr>
            <w:pStyle w:val="Contedodatabela"/>
            <w:ind w:left="-79"/>
            <w:rPr>
              <w:rFonts w:cs="Times New Roman"/>
            </w:rPr>
          </w:pPr>
        </w:p>
      </w:tc>
    </w:tr>
  </w:tbl>
  <w:p w14:paraId="00C6DB22" w14:textId="77777777" w:rsidR="008E04B3" w:rsidRDefault="008E04B3" w:rsidP="00572A17">
    <w:pPr>
      <w:pStyle w:val="Cabealho"/>
      <w:pBdr>
        <w:bottom w:val="single" w:sz="12" w:space="1" w:color="auto"/>
      </w:pBdr>
    </w:pPr>
  </w:p>
  <w:p w14:paraId="67D15AAD"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B459E9"/>
    <w:multiLevelType w:val="multilevel"/>
    <w:tmpl w:val="5FDE602E"/>
    <w:lvl w:ilvl="0">
      <w:start w:val="3"/>
      <w:numFmt w:val="decimal"/>
      <w:lvlText w:val="%1."/>
      <w:lvlJc w:val="left"/>
      <w:pPr>
        <w:ind w:left="540" w:hanging="540"/>
      </w:pPr>
      <w:rPr>
        <w:rFonts w:ascii="Times New Roman" w:eastAsia="Times New Roman" w:hAnsi="Times New Roman" w:cs="Times New Roman" w:hint="default"/>
        <w:b/>
      </w:rPr>
    </w:lvl>
    <w:lvl w:ilvl="1">
      <w:start w:val="2"/>
      <w:numFmt w:val="decimal"/>
      <w:lvlText w:val="%1.%2."/>
      <w:lvlJc w:val="left"/>
      <w:pPr>
        <w:ind w:left="720" w:hanging="720"/>
      </w:pPr>
      <w:rPr>
        <w:rFonts w:ascii="Times New Roman" w:eastAsia="Times New Roman" w:hAnsi="Times New Roman" w:cs="Times New Roman" w:hint="default"/>
        <w:b/>
      </w:rPr>
    </w:lvl>
    <w:lvl w:ilvl="2">
      <w:start w:val="1"/>
      <w:numFmt w:val="decimal"/>
      <w:lvlText w:val="%1.%2.%3."/>
      <w:lvlJc w:val="left"/>
      <w:pPr>
        <w:ind w:left="720" w:hanging="720"/>
      </w:pPr>
      <w:rPr>
        <w:rFonts w:ascii="Times New Roman" w:eastAsia="Times New Roman" w:hAnsi="Times New Roman" w:cs="Times New Roman" w:hint="default"/>
        <w:b/>
        <w:color w:val="1F3864" w:themeColor="accent1" w:themeShade="80"/>
      </w:rPr>
    </w:lvl>
    <w:lvl w:ilvl="3">
      <w:start w:val="1"/>
      <w:numFmt w:val="decimal"/>
      <w:lvlText w:val="%1.%2.%3.%4."/>
      <w:lvlJc w:val="left"/>
      <w:pPr>
        <w:ind w:left="1080" w:hanging="1080"/>
      </w:pPr>
      <w:rPr>
        <w:rFonts w:ascii="Times New Roman" w:eastAsia="Times New Roman" w:hAnsi="Times New Roman" w:cs="Times New Roman" w:hint="default"/>
        <w:b/>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8"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7"/>
    <w:lvlOverride w:ilvl="0">
      <w:startOverride w:val="1"/>
    </w:lvlOverride>
  </w:num>
  <w:num w:numId="2">
    <w:abstractNumId w:val="0"/>
  </w:num>
  <w:num w:numId="3">
    <w:abstractNumId w:val="5"/>
  </w:num>
  <w:num w:numId="4">
    <w:abstractNumId w:val="8"/>
  </w:num>
  <w:num w:numId="5">
    <w:abstractNumId w:val="3"/>
  </w:num>
  <w:num w:numId="6">
    <w:abstractNumId w:val="4"/>
  </w:num>
  <w:num w:numId="7">
    <w:abstractNumId w:val="2"/>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0C41"/>
    <w:rsid w:val="00046E70"/>
    <w:rsid w:val="00082568"/>
    <w:rsid w:val="000C2AA8"/>
    <w:rsid w:val="000F7D23"/>
    <w:rsid w:val="000F7ECB"/>
    <w:rsid w:val="00111DEB"/>
    <w:rsid w:val="001462B0"/>
    <w:rsid w:val="00170E58"/>
    <w:rsid w:val="001850BD"/>
    <w:rsid w:val="001C73AF"/>
    <w:rsid w:val="00220EE2"/>
    <w:rsid w:val="002307C0"/>
    <w:rsid w:val="00256A8B"/>
    <w:rsid w:val="00265B1A"/>
    <w:rsid w:val="00273609"/>
    <w:rsid w:val="00296B30"/>
    <w:rsid w:val="00314F35"/>
    <w:rsid w:val="003510F6"/>
    <w:rsid w:val="003974C7"/>
    <w:rsid w:val="003C180D"/>
    <w:rsid w:val="003D599E"/>
    <w:rsid w:val="00421636"/>
    <w:rsid w:val="004622F5"/>
    <w:rsid w:val="0049780B"/>
    <w:rsid w:val="004A4051"/>
    <w:rsid w:val="004F3C53"/>
    <w:rsid w:val="004F5D08"/>
    <w:rsid w:val="004F641C"/>
    <w:rsid w:val="00505BB0"/>
    <w:rsid w:val="00533532"/>
    <w:rsid w:val="00572A17"/>
    <w:rsid w:val="00584034"/>
    <w:rsid w:val="005B3B26"/>
    <w:rsid w:val="005C7103"/>
    <w:rsid w:val="006B5878"/>
    <w:rsid w:val="006D4070"/>
    <w:rsid w:val="006F7F4D"/>
    <w:rsid w:val="007027B5"/>
    <w:rsid w:val="00772C5B"/>
    <w:rsid w:val="00776EA1"/>
    <w:rsid w:val="007A5982"/>
    <w:rsid w:val="007A6772"/>
    <w:rsid w:val="007A6B49"/>
    <w:rsid w:val="007B71B0"/>
    <w:rsid w:val="007E28A7"/>
    <w:rsid w:val="007F2AE6"/>
    <w:rsid w:val="00830883"/>
    <w:rsid w:val="00854A9C"/>
    <w:rsid w:val="00876B22"/>
    <w:rsid w:val="008B42A0"/>
    <w:rsid w:val="008D1C30"/>
    <w:rsid w:val="008D539E"/>
    <w:rsid w:val="008E04B3"/>
    <w:rsid w:val="008E12E4"/>
    <w:rsid w:val="00900151"/>
    <w:rsid w:val="00922E5D"/>
    <w:rsid w:val="00966958"/>
    <w:rsid w:val="009F19ED"/>
    <w:rsid w:val="00B043CE"/>
    <w:rsid w:val="00B544F5"/>
    <w:rsid w:val="00B674A3"/>
    <w:rsid w:val="00BF5F05"/>
    <w:rsid w:val="00C029B7"/>
    <w:rsid w:val="00C223E1"/>
    <w:rsid w:val="00C238E6"/>
    <w:rsid w:val="00C371C9"/>
    <w:rsid w:val="00C41329"/>
    <w:rsid w:val="00C65E9F"/>
    <w:rsid w:val="00CA7C8E"/>
    <w:rsid w:val="00CE1DD4"/>
    <w:rsid w:val="00D13BDE"/>
    <w:rsid w:val="00DB2058"/>
    <w:rsid w:val="00E57B80"/>
    <w:rsid w:val="00E6228B"/>
    <w:rsid w:val="00E74FC0"/>
    <w:rsid w:val="00EF72B4"/>
    <w:rsid w:val="00F05065"/>
    <w:rsid w:val="00F07CCF"/>
    <w:rsid w:val="00F52C9F"/>
    <w:rsid w:val="00F54492"/>
    <w:rsid w:val="00F766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CA5E19"/>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505BB0"/>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F9736-5E48-4443-9B94-90369E4BA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8</Pages>
  <Words>3040</Words>
  <Characters>16420</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19422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5</cp:revision>
  <dcterms:created xsi:type="dcterms:W3CDTF">2026-06-05T19:11:00Z</dcterms:created>
  <dcterms:modified xsi:type="dcterms:W3CDTF">2026-06-16T11:37:00Z</dcterms:modified>
</cp:coreProperties>
</file>