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C2E81" w14:textId="77777777" w:rsidR="002307C0" w:rsidRPr="002307C0" w:rsidRDefault="002307C0" w:rsidP="002307C0">
      <w:pPr>
        <w:jc w:val="center"/>
        <w:rPr>
          <w:rFonts w:ascii="Times New Roman" w:hAnsi="Times New Roman" w:cs="Times New Roman"/>
          <w:sz w:val="32"/>
          <w:szCs w:val="32"/>
        </w:rPr>
      </w:pPr>
      <w:r>
        <w:rPr>
          <w:rFonts w:ascii="Times New Roman" w:eastAsia="Times New Roman" w:hAnsi="Times New Roman" w:cs="Times New Roman"/>
          <w:b/>
          <w:bCs/>
          <w:sz w:val="32"/>
          <w:szCs w:val="32"/>
        </w:rPr>
        <w:t>LAUDO DE EXAME PERICIAL</w:t>
      </w:r>
    </w:p>
    <w:p w14:paraId="2AB0EEF8" w14:textId="77777777" w:rsidR="002307C0" w:rsidRPr="00170E58" w:rsidRDefault="002307C0" w:rsidP="002307C0">
      <w:pPr>
        <w:jc w:val="center"/>
        <w:rPr>
          <w:rFonts w:ascii="Times New Roman" w:hAnsi="Times New Roman" w:cs="Times New Roman"/>
          <w:sz w:val="24"/>
          <w:szCs w:val="24"/>
        </w:rPr>
      </w:pPr>
      <w:r>
        <w:rPr>
          <w:rFonts w:ascii="Times New Roman" w:eastAsia="Times New Roman" w:hAnsi="Times New Roman" w:cs="Times New Roman"/>
          <w:sz w:val="24"/>
          <w:szCs w:val="24"/>
        </w:rPr>
        <w:t>(QUÍMICA FORENSE)</w:t>
      </w:r>
    </w:p>
    <w:p w14:paraId="60CC6D58" w14:textId="77777777" w:rsidR="002307C0" w:rsidRPr="00170E58" w:rsidRDefault="002307C0" w:rsidP="002307C0">
      <w:pPr>
        <w:rPr>
          <w:rFonts w:ascii="Times New Roman" w:hAnsi="Times New Roman" w:cs="Times New Roman"/>
          <w:sz w:val="24"/>
          <w:szCs w:val="24"/>
        </w:rPr>
      </w:pPr>
    </w:p>
    <w:p w14:paraId="1D8BAD3A" w14:textId="77777777" w:rsidR="002307C0" w:rsidRPr="00170E58" w:rsidRDefault="002307C0" w:rsidP="00170E58">
      <w:pPr>
        <w:jc w:val="both"/>
        <w:rPr>
          <w:rFonts w:ascii="Times New Roman" w:hAnsi="Times New Roman" w:cs="Times New Roman"/>
          <w:sz w:val="24"/>
          <w:szCs w:val="24"/>
        </w:rPr>
      </w:pPr>
      <w:r>
        <w:rPr>
          <w:rFonts w:ascii="Times New Roman" w:eastAsia="Times New Roman" w:hAnsi="Times New Roman" w:cs="Times New Roman"/>
          <w:b/>
          <w:bCs/>
          <w:color w:val="002060"/>
          <w:sz w:val="24"/>
          <w:szCs w:val="24"/>
        </w:rPr>
        <w:t>DEMANDA [DEMANDA]</w:t>
      </w:r>
    </w:p>
    <w:p w14:paraId="12813EE6" w14:textId="77777777" w:rsidR="002307C0" w:rsidRPr="00170E58" w:rsidRDefault="002307C0" w:rsidP="00170E58">
      <w:pPr>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LAUDO PERICIAL nº. [LAUDO]</w:t>
      </w:r>
    </w:p>
    <w:p w14:paraId="4A6A06A3" w14:textId="77777777" w:rsidR="002307C0" w:rsidRPr="00170E58" w:rsidRDefault="002307C0" w:rsidP="00296B30">
      <w:pPr>
        <w:pStyle w:val="SemEspaamento"/>
      </w:pPr>
    </w:p>
    <w:p w14:paraId="70DAAF01" w14:textId="081DC12B"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Em </w:t>
      </w:r>
      <w:r>
        <w:rPr>
          <w:rFonts w:ascii="Times New Roman" w:hAnsi="Times New Roman" w:cs="Times New Roman"/>
          <w:b/>
          <w:bCs/>
          <w:sz w:val="24"/>
          <w:szCs w:val="24"/>
        </w:rPr>
        <w:t>27</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o </w:t>
      </w:r>
      <w:r>
        <w:rPr>
          <w:rFonts w:ascii="Times New Roman" w:hAnsi="Times New Roman" w:cs="Times New Roman"/>
          <w:b/>
          <w:bCs/>
          <w:sz w:val="24"/>
          <w:szCs w:val="24"/>
        </w:rPr>
        <w:t>NÚCLEO REGIONAL DE POLÍCIA CIENTÍFICA DE PARNAÍBA (NRPC/PHB)</w:t>
      </w:r>
      <w:r>
        <w:rPr>
          <w:rFonts w:ascii="Times New Roman" w:hAnsi="Times New Roman" w:cs="Times New Roman"/>
          <w:sz w:val="24"/>
          <w:szCs w:val="24"/>
        </w:rPr>
        <w:t xml:space="preserve">, vinculado ao </w:t>
      </w:r>
      <w:r>
        <w:rPr>
          <w:rFonts w:ascii="Times New Roman" w:hAnsi="Times New Roman" w:cs="Times New Roman"/>
          <w:b/>
          <w:bCs/>
          <w:sz w:val="24"/>
          <w:szCs w:val="24"/>
        </w:rPr>
        <w:t>DEPARTAMENTO DE POLÍCIA CIENTÍFICA</w:t>
      </w:r>
      <w:r>
        <w:rPr>
          <w:rFonts w:ascii="Times New Roman" w:hAnsi="Times New Roman" w:cs="Times New Roman"/>
          <w:sz w:val="24"/>
          <w:szCs w:val="24"/>
        </w:rPr>
        <w:t xml:space="preserve"> da </w:t>
      </w:r>
      <w:r>
        <w:rPr>
          <w:rFonts w:ascii="Times New Roman" w:hAnsi="Times New Roman" w:cs="Times New Roman"/>
          <w:b/>
          <w:bCs/>
          <w:sz w:val="24"/>
          <w:szCs w:val="24"/>
        </w:rPr>
        <w:t>POLÍCIA CIVIL DO ESTADO DO PIAUÍ</w:t>
      </w:r>
      <w:r>
        <w:rPr>
          <w:rFonts w:ascii="Times New Roman" w:hAnsi="Times New Roman" w:cs="Times New Roman"/>
          <w:sz w:val="24"/>
          <w:szCs w:val="24"/>
        </w:rPr>
        <w:t xml:space="preserve">, recebeu a requisição nº. </w:t>
      </w:r>
      <w:r>
        <w:rPr>
          <w:rFonts w:ascii="Times New Roman" w:hAnsi="Times New Roman" w:cs="Times New Roman"/>
          <w:b/>
          <w:bCs/>
          <w:sz w:val="24"/>
          <w:szCs w:val="24"/>
        </w:rPr>
        <w:t>[REQUISIÇÃO]</w:t>
      </w:r>
      <w:r>
        <w:rPr>
          <w:rFonts w:ascii="Times New Roman" w:hAnsi="Times New Roman" w:cs="Times New Roman"/>
          <w:sz w:val="24"/>
          <w:szCs w:val="24"/>
        </w:rPr>
        <w:t xml:space="preserve">, datada de </w:t>
      </w:r>
      <w:r>
        <w:rPr>
          <w:rFonts w:ascii="Times New Roman" w:hAnsi="Times New Roman" w:cs="Times New Roman"/>
          <w:b/>
          <w:bCs/>
          <w:sz w:val="24"/>
          <w:szCs w:val="24"/>
        </w:rPr>
        <w:t>23</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emitida pela </w:t>
      </w:r>
      <w:r>
        <w:rPr>
          <w:rFonts w:ascii="Times New Roman" w:hAnsi="Times New Roman" w:cs="Times New Roman"/>
          <w:b/>
          <w:bCs/>
          <w:sz w:val="24"/>
          <w:szCs w:val="24"/>
        </w:rPr>
        <w:t>[EMISSOR]</w:t>
      </w:r>
      <w:r>
        <w:rPr>
          <w:rFonts w:ascii="Times New Roman" w:hAnsi="Times New Roman" w:cs="Times New Roman"/>
          <w:sz w:val="24"/>
          <w:szCs w:val="24"/>
        </w:rPr>
        <w:t xml:space="preserve">, solicitando a realização de </w:t>
      </w:r>
      <w:r>
        <w:rPr>
          <w:rFonts w:ascii="Times New Roman" w:hAnsi="Times New Roman" w:cs="Times New Roman"/>
          <w:b/>
          <w:bCs/>
          <w:sz w:val="24"/>
          <w:szCs w:val="24"/>
        </w:rPr>
        <w:t>EXAME DE IDENTIFICAÇÃO DE SUBSTÂNCIA</w:t>
      </w:r>
      <w:r>
        <w:rPr>
          <w:rFonts w:ascii="Times New Roman" w:hAnsi="Times New Roman" w:cs="Times New Roman"/>
          <w:sz w:val="24"/>
          <w:szCs w:val="24"/>
        </w:rPr>
        <w:t xml:space="preserve"> relacionada ao BO </w:t>
      </w:r>
      <w:r>
        <w:rPr>
          <w:rFonts w:ascii="Times New Roman" w:hAnsi="Times New Roman" w:cs="Times New Roman"/>
          <w:b/>
          <w:bCs/>
          <w:sz w:val="24"/>
          <w:szCs w:val="24"/>
        </w:rPr>
        <w:t>[BO]</w:t>
      </w:r>
      <w:r>
        <w:rPr>
          <w:rFonts w:ascii="Times New Roman" w:hAnsi="Times New Roman" w:cs="Times New Roman"/>
          <w:sz w:val="24"/>
          <w:szCs w:val="24"/>
        </w:rPr>
        <w:t>.</w:t>
      </w:r>
    </w:p>
    <w:p w14:paraId="1078B60C" w14:textId="77777777" w:rsidR="00533532" w:rsidRPr="00170E58" w:rsidRDefault="00533532" w:rsidP="00296B30">
      <w:pPr>
        <w:pStyle w:val="SemEspaamento"/>
      </w:pPr>
    </w:p>
    <w:p w14:paraId="01ECA76E" w14:textId="42E8F376"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demanda foi encaminhada ao Setor de Química Forense, sendo designado o Perito Criminal </w:t>
      </w:r>
      <w:r>
        <w:rPr>
          <w:rFonts w:ascii="Times New Roman" w:hAnsi="Times New Roman" w:cs="Times New Roman"/>
          <w:b/>
          <w:bCs/>
          <w:sz w:val="24"/>
          <w:szCs w:val="24"/>
        </w:rPr>
        <w:t>FAUSTO RODRIGO PINTO DE VASCONCELOS</w:t>
      </w:r>
      <w:r>
        <w:rPr>
          <w:rFonts w:ascii="Times New Roman" w:hAnsi="Times New Roman" w:cs="Times New Roman"/>
          <w:sz w:val="24"/>
          <w:szCs w:val="24"/>
        </w:rP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proofErr w:type="spellStart"/>
      <w:r>
        <w:rPr>
          <w:rFonts w:ascii="Times New Roman" w:hAnsi="Times New Roman" w:cs="Times New Roman"/>
          <w:i/>
          <w:iCs/>
          <w:sz w:val="24"/>
          <w:szCs w:val="24"/>
        </w:rPr>
        <w:t>Scientific</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Working</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Group</w:t>
      </w:r>
      <w:proofErr w:type="spellEnd"/>
      <w:r>
        <w:rPr>
          <w:rFonts w:ascii="Times New Roman" w:hAnsi="Times New Roman" w:cs="Times New Roman"/>
          <w:i/>
          <w:iCs/>
          <w:sz w:val="24"/>
          <w:szCs w:val="24"/>
        </w:rPr>
        <w:t xml:space="preserve"> for </w:t>
      </w:r>
      <w:proofErr w:type="spellStart"/>
      <w:r>
        <w:rPr>
          <w:rFonts w:ascii="Times New Roman" w:hAnsi="Times New Roman" w:cs="Times New Roman"/>
          <w:i/>
          <w:iCs/>
          <w:sz w:val="24"/>
          <w:szCs w:val="24"/>
        </w:rPr>
        <w:t>the</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Analysis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of</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Seized</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Drugs</w:t>
      </w:r>
      <w:proofErr w:type="spellEnd"/>
      <w:r>
        <w:rPr>
          <w:rFonts w:ascii="Times New Roman" w:hAnsi="Times New Roman" w:cs="Times New Roman"/>
          <w:sz w:val="24"/>
          <w:szCs w:val="24"/>
        </w:rPr>
        <w:t xml:space="preserve"> (SWGDRUG Rev. 8.1, 2022) e dos Procedimentos Operacionais Padrão da SENASP/MJ nº 9.09 (2024).</w:t>
      </w:r>
      <w:r>
        <w:rPr>
          <w:rStyle w:val="Refdenotaderodap"/>
          <w:rFonts w:ascii="Times New Roman" w:hAnsi="Times New Roman" w:cs="Times New Roman"/>
          <w:sz w:val="24"/>
          <w:szCs w:val="24"/>
        </w:rPr>
        <w:footnoteReference w:id="1"/>
      </w:r>
    </w:p>
    <w:p w14:paraId="2703DDAF" w14:textId="77777777" w:rsidR="00170E58" w:rsidRDefault="00170E58" w:rsidP="00296B30">
      <w:pPr>
        <w:pStyle w:val="SemEspaamento"/>
      </w:pPr>
    </w:p>
    <w:p w14:paraId="568786DC" w14:textId="284D8E4C" w:rsidR="00170E58" w:rsidRPr="00170E58" w:rsidRDefault="004A4051" w:rsidP="00170E58">
      <w:pPr>
        <w:jc w:val="both"/>
        <w:rPr>
          <w:rFonts w:ascii="Times New Roman" w:hAnsi="Times New Roman" w:cs="Times New Roman"/>
          <w:sz w:val="24"/>
          <w:szCs w:val="24"/>
        </w:rPr>
      </w:pPr>
      <w:r>
        <w:rPr>
          <w:rFonts w:ascii="Times New Roman" w:hAnsi="Times New Roman" w:cs="Times New Roman"/>
          <w:sz w:val="24"/>
          <w:szCs w:val="24"/>
        </w:rPr>
        <w:t xml:space="preserve">O material submetido à análise foi apreendido no contexto do procedimento policial envolvendo </w:t>
      </w:r>
      <w:r>
        <w:rPr>
          <w:rFonts w:ascii="Times New Roman" w:hAnsi="Times New Roman" w:cs="Times New Roman"/>
          <w:b/>
          <w:bCs/>
          <w:sz w:val="24"/>
          <w:szCs w:val="24"/>
        </w:rPr>
        <w:t>[ENVOLVIDO] — CPF [CPF]</w:t>
      </w:r>
      <w:r>
        <w:rPr>
          <w:rFonts w:ascii="Times New Roman" w:hAnsi="Times New Roman" w:cs="Times New Roman"/>
          <w:sz w:val="24"/>
          <w:szCs w:val="24"/>
        </w:rPr>
        <w:t xml:space="preserve">, conforme consta na requisição. Os resultados serão encaminhados à </w:t>
      </w:r>
      <w:r>
        <w:rPr>
          <w:rFonts w:ascii="Times New Roman" w:hAnsi="Times New Roman" w:cs="Times New Roman"/>
          <w:b/>
          <w:bCs/>
          <w:sz w:val="24"/>
          <w:szCs w:val="24"/>
        </w:rPr>
        <w:t>[EMISSOR]</w:t>
      </w:r>
      <w:r>
        <w:rPr>
          <w:rFonts w:ascii="Times New Roman" w:hAnsi="Times New Roman" w:cs="Times New Roman"/>
          <w:sz w:val="24"/>
          <w:szCs w:val="24"/>
        </w:rPr>
        <w:t xml:space="preserve"> para os devidos fins. </w:t>
      </w:r>
      <w:r>
        <w:rPr>
          <w:rFonts w:ascii="Times New Roman" w:eastAsia="Times New Roman" w:hAnsi="Times New Roman" w:cs="Times New Roman"/>
          <w:sz w:val="24"/>
          <w:szCs w:val="24"/>
        </w:rPr>
        <w:t xml:space="preserve">Os exames foram conduzidos, preferencialmente, seguindo a ordem cronológica das demandas do setor. </w:t>
      </w:r>
    </w:p>
    <w:p w14:paraId="00A5B1BE" w14:textId="77777777" w:rsidR="00533532" w:rsidRPr="00170E58" w:rsidRDefault="00533532" w:rsidP="00296B30">
      <w:pPr>
        <w:pStyle w:val="SemEspaamento"/>
      </w:pPr>
    </w:p>
    <w:p w14:paraId="6FA06BEF" w14:textId="412188E0" w:rsidR="00533532" w:rsidRPr="00170E58" w:rsidRDefault="004A4051" w:rsidP="00170E58">
      <w:pPr>
        <w:pStyle w:val="Ttulo1"/>
        <w:rPr>
          <w:rFonts w:ascii="Times New Roman" w:hAnsi="Times New Roman" w:cs="Times New Roman"/>
        </w:rPr>
      </w:pPr>
      <w:r>
        <w:rPr>
          <w:rFonts w:ascii="Times New Roman" w:hAnsi="Times New Roman" w:cs="Times New Roman"/>
        </w:rPr>
        <w:t>1.   MATERIAL APREENDIDO</w:t>
      </w:r>
    </w:p>
    <w:p w14:paraId="7859AC94" w14:textId="1119E07D" w:rsidR="00533532" w:rsidRPr="00170E58" w:rsidRDefault="004A4051"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1.1.   Cadeia de Custódia, Identificação e Descrição do Material</w:t>
      </w:r>
    </w:p>
    <w:p w14:paraId="233E9FC8" w14:textId="5A963786"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proveniente da unidade policial, adentrou nesta unidade pericial acondicionado no Envelope de Vestígios/Lacre nº. </w:t>
      </w:r>
      <w:r>
        <w:rPr>
          <w:rFonts w:ascii="Times New Roman" w:hAnsi="Times New Roman" w:cs="Times New Roman"/>
          <w:b/>
          <w:bCs/>
          <w:sz w:val="24"/>
          <w:szCs w:val="24"/>
        </w:rPr>
        <w:t>[ENV_ENTRADA]</w:t>
      </w:r>
      <w:r>
        <w:rPr>
          <w:rFonts w:ascii="Times New Roman" w:hAnsi="Times New Roman" w:cs="Times New Roman"/>
          <w:sz w:val="24"/>
          <w:szCs w:val="24"/>
        </w:rPr>
        <w:t xml:space="preserve">, cadastrado no sistema AMPLO sob nº. </w:t>
      </w:r>
      <w:r>
        <w:rPr>
          <w:rFonts w:ascii="Times New Roman" w:hAnsi="Times New Roman" w:cs="Times New Roman"/>
          <w:b/>
          <w:bCs/>
          <w:sz w:val="24"/>
          <w:szCs w:val="24"/>
        </w:rPr>
        <w:t>[AMPLO]</w:t>
      </w:r>
      <w:r>
        <w:rPr>
          <w:rFonts w:ascii="Times New Roman" w:hAnsi="Times New Roman" w:cs="Times New Roman"/>
          <w:sz w:val="24"/>
          <w:szCs w:val="24"/>
        </w:rPr>
        <w:t xml:space="preserve">. Foi submetido a exame preliminar no núcleo pericial pelo Perito Criminal plantonista, referente à Demanda nº. </w:t>
      </w:r>
      <w:r>
        <w:rPr>
          <w:rFonts w:ascii="Times New Roman" w:hAnsi="Times New Roman" w:cs="Times New Roman"/>
          <w:b/>
          <w:bCs/>
          <w:sz w:val="24"/>
          <w:szCs w:val="24"/>
        </w:rPr>
        <w:t>[DEMANDA_PRELIM]</w:t>
      </w:r>
      <w:r>
        <w:rPr>
          <w:rFonts w:ascii="Times New Roman" w:hAnsi="Times New Roman" w:cs="Times New Roman"/>
          <w:sz w:val="24"/>
          <w:szCs w:val="24"/>
        </w:rPr>
        <w:t xml:space="preserve">. Nessa etapa, o material foi transferido para o Envelope de Vestígios/Lacre nº. </w:t>
      </w:r>
      <w:r>
        <w:rPr>
          <w:rFonts w:ascii="Times New Roman" w:hAnsi="Times New Roman" w:cs="Times New Roman"/>
          <w:b/>
          <w:bCs/>
          <w:sz w:val="24"/>
          <w:szCs w:val="24"/>
        </w:rPr>
        <w:t>[ENV_POS_PRELIM]</w:t>
      </w:r>
      <w:r>
        <w:rPr>
          <w:rFonts w:ascii="Times New Roman" w:hAnsi="Times New Roman" w:cs="Times New Roman"/>
          <w:sz w:val="24"/>
          <w:szCs w:val="24"/>
        </w:rPr>
        <w:t xml:space="preserve"> e encaminhado ao Setor de Química Forense para análise definitiva, em observância à cadeia de custódia da prova prevista nos </w:t>
      </w:r>
      <w:proofErr w:type="spellStart"/>
      <w:r>
        <w:rPr>
          <w:rFonts w:ascii="Times New Roman" w:hAnsi="Times New Roman" w:cs="Times New Roman"/>
          <w:sz w:val="24"/>
          <w:szCs w:val="24"/>
        </w:rPr>
        <w:t>arts</w:t>
      </w:r>
      <w:proofErr w:type="spellEnd"/>
      <w:r>
        <w:rPr>
          <w:rFonts w:ascii="Times New Roman" w:hAnsi="Times New Roman" w:cs="Times New Roman"/>
          <w:sz w:val="24"/>
          <w:szCs w:val="24"/>
        </w:rPr>
        <w:t>. 158-A a 158-F do CPP (Lei 13.964/2019).</w:t>
      </w:r>
    </w:p>
    <w:p w14:paraId="3484726E" w14:textId="77777777" w:rsidR="00533532" w:rsidRPr="007B71B0" w:rsidRDefault="00533532" w:rsidP="007B71B0">
      <w:pPr>
        <w:rPr>
          <w:sz w:val="24"/>
          <w:szCs w:val="24"/>
        </w:rPr>
      </w:pPr>
    </w:p>
    <w:p w14:paraId="5826B755" w14:textId="754EA48B"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 realização do exame definitivo, procedeu-se à abertura regular do envelope de vestígios, seguida de inspeção visual, contagem dos volumes, registro fotográfico, aferição de massa bruta e </w:t>
      </w:r>
      <w:r>
        <w:rPr>
          <w:rFonts w:ascii="Times New Roman" w:hAnsi="Times New Roman" w:cs="Times New Roman"/>
          <w:sz w:val="24"/>
          <w:szCs w:val="24"/>
        </w:rPr>
        <w:lastRenderedPageBreak/>
        <w:t>seleção de frações representativas para análise química. As constatações estão descritas na Tabela 1, a seguir.</w:t>
      </w:r>
    </w:p>
    <w:p w14:paraId="60541BC2" w14:textId="77777777" w:rsidR="00533532" w:rsidRPr="007B71B0" w:rsidRDefault="00533532" w:rsidP="007B71B0">
      <w:pPr>
        <w:jc w:val="center"/>
        <w:rPr>
          <w:rFonts w:ascii="Times New Roman" w:hAnsi="Times New Roman" w:cs="Times New Roman"/>
          <w:sz w:val="24"/>
          <w:szCs w:val="24"/>
        </w:rPr>
      </w:pPr>
    </w:p>
    <w:tbl>
      <w:tblPr>
        <w:tblStyle w:val="TabeladeGrade4-nfase1"/>
        <w:tblW w:w="9493" w:type="dxa"/>
        <w:tblLook w:val="04A0" w:firstRow="1" w:lastRow="0" w:firstColumn="1" w:lastColumn="0" w:noHBand="0" w:noVBand="1"/>
      </w:tblPr>
      <w:tblGrid>
        <w:gridCol w:w="682"/>
        <w:gridCol w:w="2290"/>
        <w:gridCol w:w="1316"/>
        <w:gridCol w:w="2086"/>
        <w:gridCol w:w="3119"/>
      </w:tblGrid>
      <w:tr w:rsidR="00E74FC0" w:rsidRPr="00B674A3" w14:paraId="23E2D7EA" w14:textId="77777777" w:rsidTr="00397A29">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15B9C030" w14:textId="77777777" w:rsidR="00533532" w:rsidRPr="00B674A3" w:rsidRDefault="004A4051" w:rsidP="00E74FC0">
            <w:pPr>
              <w:spacing w:before="40" w:after="40"/>
              <w:jc w:val="center"/>
              <w:rPr>
                <w:rFonts w:ascii="Times New Roman" w:hAnsi="Times New Roman" w:cs="Times New Roman"/>
                <w:sz w:val="20"/>
                <w:szCs w:val="20"/>
              </w:rPr>
            </w:pPr>
            <w:r>
              <w:rPr>
                <w:rFonts w:ascii="Times New Roman" w:hAnsi="Times New Roman" w:cs="Times New Roman"/>
                <w:sz w:val="20"/>
                <w:szCs w:val="20"/>
              </w:rPr>
              <w:t>Item</w:t>
            </w:r>
          </w:p>
        </w:tc>
        <w:tc>
          <w:tcPr>
            <w:tcW w:w="2290" w:type="dxa"/>
          </w:tcPr>
          <w:p w14:paraId="120EBBB2"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Massa bruta aferida</w:t>
            </w:r>
          </w:p>
        </w:tc>
        <w:tc>
          <w:tcPr>
            <w:tcW w:w="1316" w:type="dxa"/>
          </w:tcPr>
          <w:p w14:paraId="5A434F5D"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Pr>
                <w:rFonts w:ascii="Times New Roman" w:hAnsi="Times New Roman" w:cs="Times New Roman"/>
                <w:sz w:val="20"/>
                <w:szCs w:val="20"/>
              </w:rPr>
              <w:t>Qtd</w:t>
            </w:r>
            <w:proofErr w:type="spellEnd"/>
            <w:r>
              <w:rPr>
                <w:rFonts w:ascii="Times New Roman" w:hAnsi="Times New Roman" w:cs="Times New Roman"/>
                <w:sz w:val="20"/>
                <w:szCs w:val="20"/>
              </w:rPr>
              <w:t>.</w:t>
            </w:r>
          </w:p>
        </w:tc>
        <w:tc>
          <w:tcPr>
            <w:tcW w:w="2086" w:type="dxa"/>
          </w:tcPr>
          <w:p w14:paraId="6348895C"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Acondicionamento</w:t>
            </w:r>
          </w:p>
        </w:tc>
        <w:tc>
          <w:tcPr>
            <w:tcW w:w="3119" w:type="dxa"/>
          </w:tcPr>
          <w:p w14:paraId="70CA81CF"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 físicos</w:t>
            </w:r>
          </w:p>
        </w:tc>
      </w:tr>
      <w:tr w:rsidR="008F6164" w:rsidRPr="00B674A3" w14:paraId="5BB8507A"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40AF1869" w14:textId="19490A86" w:rsidR="008F6164" w:rsidRDefault="008F6164" w:rsidP="008F6164">
            <w:pPr>
              <w:spacing w:before="80" w:after="80"/>
              <w:jc w:val="center"/>
              <w:rPr>
                <w:rFonts w:ascii="Times New Roman" w:hAnsi="Times New Roman" w:cs="Times New Roman"/>
                <w:sz w:val="20"/>
                <w:szCs w:val="20"/>
              </w:rPr>
            </w:pPr>
            <w:r>
              <w:rPr>
                <w:rFonts w:ascii="Times New Roman" w:hAnsi="Times New Roman" w:cs="Times New Roman"/>
                <w:sz w:val="20"/>
                <w:szCs w:val="20"/>
              </w:rPr>
              <w:t>b.</w:t>
            </w:r>
          </w:p>
        </w:tc>
        <w:tc>
          <w:tcPr>
            <w:tcW w:w="2290" w:type="dxa"/>
          </w:tcPr>
          <w:p w14:paraId="18483F60" w14:textId="22257206"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[MASSA_CC_BRUTA]</w:t>
            </w:r>
            <w:r>
              <w:rPr>
                <w:rFonts w:ascii="Times New Roman" w:hAnsi="Times New Roman" w:cs="Times New Roman"/>
                <w:sz w:val="20"/>
                <w:szCs w:val="20"/>
              </w:rPr>
              <w:t xml:space="preserve"> g (</w:t>
            </w:r>
            <w:r>
              <w:rPr>
                <w:rFonts w:ascii="Times New Roman" w:hAnsi="Times New Roman" w:cs="Times New Roman"/>
                <w:i/>
                <w:iCs/>
                <w:sz w:val="20"/>
                <w:szCs w:val="20"/>
              </w:rPr>
              <w:t>[MASSA_CC_EXT]</w:t>
            </w:r>
            <w:r>
              <w:rPr>
                <w:rFonts w:ascii="Times New Roman" w:hAnsi="Times New Roman" w:cs="Times New Roman"/>
                <w:sz w:val="20"/>
                <w:szCs w:val="20"/>
              </w:rPr>
              <w:t>) massa bruta</w:t>
            </w:r>
          </w:p>
        </w:tc>
        <w:tc>
          <w:tcPr>
            <w:tcW w:w="1316" w:type="dxa"/>
          </w:tcPr>
          <w:p w14:paraId="26B40770" w14:textId="119424A1"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[QTD_CC]</w:t>
            </w:r>
          </w:p>
        </w:tc>
        <w:tc>
          <w:tcPr>
            <w:tcW w:w="2086" w:type="dxa"/>
          </w:tcPr>
          <w:p w14:paraId="638E2B0D" w14:textId="7B4DDCCC"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[ACOND_CC]</w:t>
            </w:r>
          </w:p>
        </w:tc>
        <w:tc>
          <w:tcPr>
            <w:tcW w:w="3119" w:type="dxa"/>
          </w:tcPr>
          <w:p w14:paraId="601689FB" w14:textId="751C73AB"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[ASPECTOS_CC]</w:t>
            </w:r>
          </w:p>
        </w:tc>
      </w:tr>
    </w:tbl>
    <w:p w14:paraId="1C580BC5" w14:textId="5923EA90" w:rsidR="00533532" w:rsidRDefault="004A4051" w:rsidP="007B71B0">
      <w:pPr>
        <w:spacing w:before="80" w:after="80"/>
        <w:rPr>
          <w:rFonts w:ascii="Times New Roman" w:hAnsi="Times New Roman" w:cs="Times New Roman"/>
          <w:i/>
          <w:iCs/>
          <w:sz w:val="20"/>
          <w:szCs w:val="20"/>
        </w:rPr>
      </w:pPr>
      <w:r>
        <w:rPr>
          <w:rFonts w:ascii="Times New Roman" w:hAnsi="Times New Roman" w:cs="Times New Roman"/>
          <w:i/>
          <w:iCs/>
          <w:sz w:val="20"/>
          <w:szCs w:val="20"/>
        </w:rPr>
        <w:t>Tabela 1. Identificação e descrição do material submetido a análise definitiva.</w:t>
      </w:r>
    </w:p>
    <w:p w14:paraId="51EA8C79" w14:textId="77777777" w:rsidR="00A05F41" w:rsidRPr="00B674A3" w:rsidRDefault="00A05F41" w:rsidP="007B71B0">
      <w:pPr>
        <w:spacing w:before="80" w:after="80"/>
        <w:rPr>
          <w:rFonts w:ascii="Times New Roman" w:hAnsi="Times New Roman" w:cs="Times New Roman"/>
          <w:sz w:val="20"/>
          <w:szCs w:val="20"/>
        </w:rPr>
      </w:pPr>
    </w:p>
    <w:p w14:paraId="1EEF81BC" w14:textId="6DA14948" w:rsidR="00B674A3" w:rsidRDefault="00B63C3B" w:rsidP="007B71B0">
      <w:pPr>
        <w:spacing w:before="80" w:after="80"/>
        <w:jc w:val="center"/>
        <w:rPr>
          <w:rFonts w:ascii="Times New Roman" w:hAnsi="Times New Roman" w:cs="Times New Roman"/>
          <w:i/>
          <w:iCs/>
        </w:rPr>
      </w:pPr>
      <w:r>
        <w:rPr>
          <w:rFonts w:ascii="Times New Roman" w:hAnsi="Times New Roman" w:cs="Times New Roman"/>
          <w:i/>
          <w:iCs/>
          <w:noProof/>
        </w:rPr>
        <w:drawing>
          <wp:inline distT="0" distB="0" distL="0" distR="0" wp14:anchorId="5F853967" wp14:editId="132153D3">
            <wp:extent cx="5703891" cy="3469217"/>
            <wp:effectExtent l="19050" t="19050" r="11430" b="1714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2103"/>
                    <a:stretch/>
                  </pic:blipFill>
                  <pic:spPr bwMode="auto">
                    <a:xfrm>
                      <a:off x="0" y="0"/>
                      <a:ext cx="5713079" cy="3474805"/>
                    </a:xfrm>
                    <a:prstGeom prst="rect">
                      <a:avLst/>
                    </a:prstGeom>
                    <a:ln>
                      <a:solidFill>
                        <a:schemeClr val="accent5">
                          <a:lumMod val="20000"/>
                          <a:lumOff val="80000"/>
                        </a:schemeClr>
                      </a:solidFill>
                    </a:ln>
                    <a:extLst>
                      <a:ext uri="{53640926-AAD7-44D8-BBD7-CCE9431645EC}">
                        <a14:shadowObscured xmlns:a14="http://schemas.microsoft.com/office/drawing/2010/main"/>
                      </a:ext>
                    </a:extLst>
                  </pic:spPr>
                </pic:pic>
              </a:graphicData>
            </a:graphic>
          </wp:inline>
        </w:drawing>
      </w:r>
    </w:p>
    <w:p w14:paraId="78C8357E" w14:textId="0D2B20CA" w:rsidR="00533532" w:rsidRPr="007B71B0" w:rsidRDefault="004A4051" w:rsidP="007B71B0">
      <w:pPr>
        <w:spacing w:before="80" w:after="80"/>
        <w:jc w:val="center"/>
        <w:rPr>
          <w:rFonts w:ascii="Times New Roman" w:hAnsi="Times New Roman" w:cs="Times New Roman"/>
          <w:sz w:val="20"/>
          <w:szCs w:val="20"/>
        </w:rPr>
      </w:pPr>
      <w:r>
        <w:rPr>
          <w:rFonts w:ascii="Times New Roman" w:hAnsi="Times New Roman" w:cs="Times New Roman"/>
          <w:i/>
          <w:iCs/>
          <w:sz w:val="20"/>
          <w:szCs w:val="20"/>
        </w:rPr>
        <w:t>Figura 1. Vista geral do material encaminhado a exame. Material custodiado provisoriamente no LAB-NRPC/PHB.</w:t>
      </w:r>
    </w:p>
    <w:p w14:paraId="33B91411" w14:textId="77777777" w:rsidR="00533532" w:rsidRPr="007B71B0" w:rsidRDefault="00533532" w:rsidP="007B71B0">
      <w:pPr>
        <w:rPr>
          <w:rFonts w:ascii="Times New Roman" w:hAnsi="Times New Roman" w:cs="Times New Roman"/>
          <w:sz w:val="24"/>
          <w:szCs w:val="24"/>
        </w:rPr>
      </w:pPr>
    </w:p>
    <w:p w14:paraId="5E439C3A" w14:textId="33EE63BE"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permaneceu custodiado neste laboratório até a conclusão deste laudo, momento em que foi reacondicionado em Envelope de Vestígios/Lacre nº. </w:t>
      </w:r>
      <w:r>
        <w:rPr>
          <w:rFonts w:ascii="Times New Roman" w:hAnsi="Times New Roman" w:cs="Times New Roman"/>
          <w:b/>
          <w:bCs/>
          <w:sz w:val="24"/>
          <w:szCs w:val="24"/>
        </w:rPr>
        <w:t>[ENV_POS_DEF]</w:t>
      </w:r>
      <w:r>
        <w:rPr>
          <w:rFonts w:ascii="Times New Roman" w:hAnsi="Times New Roman" w:cs="Times New Roman"/>
          <w:sz w:val="24"/>
          <w:szCs w:val="24"/>
        </w:rPr>
        <w:t xml:space="preserve"> após análise definitiva e remetido ao protocolo para devolução à autoridade solicitante.</w:t>
      </w:r>
    </w:p>
    <w:p w14:paraId="62CD44EB" w14:textId="77777777" w:rsidR="00533532" w:rsidRPr="007B71B0" w:rsidRDefault="00533532" w:rsidP="00296B30">
      <w:pPr>
        <w:pStyle w:val="SemEspaamento"/>
      </w:pPr>
    </w:p>
    <w:p w14:paraId="77D9E221" w14:textId="7DE394A1"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Ressalta-se que do referido material foram retiradas frações representativas de cada item — analisadas individualmente. Das frações examinadas foram ainda separadas amostras para constituição de contraprova, mantidas sob custódia nesta unidade pericial, acondicionadas sob nº. </w:t>
      </w:r>
      <w:r>
        <w:rPr>
          <w:rFonts w:ascii="Times New Roman" w:hAnsi="Times New Roman" w:cs="Times New Roman"/>
          <w:b/>
          <w:bCs/>
          <w:sz w:val="24"/>
          <w:szCs w:val="24"/>
        </w:rPr>
        <w:t>[CP_AMPLO]</w:t>
      </w:r>
      <w:r>
        <w:rPr>
          <w:rFonts w:ascii="Times New Roman" w:hAnsi="Times New Roman" w:cs="Times New Roman"/>
          <w:sz w:val="24"/>
          <w:szCs w:val="24"/>
        </w:rPr>
        <w:t xml:space="preserve"> em Envelope de Vestígios/Lacre ref. </w:t>
      </w:r>
      <w:r>
        <w:rPr>
          <w:rFonts w:ascii="Times New Roman" w:hAnsi="Times New Roman" w:cs="Times New Roman"/>
          <w:b/>
          <w:bCs/>
          <w:sz w:val="24"/>
          <w:szCs w:val="24"/>
        </w:rPr>
        <w:t>[MÊS_</w:t>
      </w:r>
      <w:proofErr w:type="gramStart"/>
      <w:r>
        <w:rPr>
          <w:rFonts w:ascii="Times New Roman" w:hAnsi="Times New Roman" w:cs="Times New Roman"/>
          <w:b/>
          <w:bCs/>
          <w:sz w:val="24"/>
          <w:szCs w:val="24"/>
        </w:rPr>
        <w:t>CP]/</w:t>
      </w:r>
      <w:proofErr w:type="gramEnd"/>
      <w:r>
        <w:rPr>
          <w:rFonts w:ascii="Times New Roman" w:hAnsi="Times New Roman" w:cs="Times New Roman"/>
          <w:b/>
          <w:bCs/>
          <w:sz w:val="24"/>
          <w:szCs w:val="24"/>
        </w:rPr>
        <w:t>[ANO_CP]</w:t>
      </w:r>
      <w:r>
        <w:rPr>
          <w:rFonts w:ascii="Times New Roman" w:hAnsi="Times New Roman" w:cs="Times New Roman"/>
          <w:sz w:val="24"/>
          <w:szCs w:val="24"/>
        </w:rPr>
        <w:t xml:space="preserve"> nº. </w:t>
      </w:r>
      <w:r>
        <w:rPr>
          <w:rFonts w:ascii="Times New Roman" w:hAnsi="Times New Roman" w:cs="Times New Roman"/>
          <w:b/>
          <w:bCs/>
          <w:sz w:val="24"/>
          <w:szCs w:val="24"/>
        </w:rPr>
        <w:t>[ENV_CP]</w:t>
      </w:r>
      <w:r>
        <w:rPr>
          <w:rFonts w:ascii="Times New Roman" w:hAnsi="Times New Roman" w:cs="Times New Roman"/>
          <w:sz w:val="24"/>
          <w:szCs w:val="24"/>
        </w:rPr>
        <w:t>.</w:t>
      </w:r>
    </w:p>
    <w:p w14:paraId="7CC5085E" w14:textId="77777777" w:rsidR="00533532" w:rsidRPr="007B71B0" w:rsidRDefault="00533532" w:rsidP="00296B30">
      <w:pPr>
        <w:pStyle w:val="SemEspaamento"/>
      </w:pPr>
    </w:p>
    <w:p w14:paraId="2DDEEC12" w14:textId="5807C915" w:rsidR="00533532" w:rsidRPr="007B71B0" w:rsidRDefault="004A4051" w:rsidP="007B71B0">
      <w:pPr>
        <w:pStyle w:val="Ttulo1"/>
        <w:rPr>
          <w:rFonts w:ascii="Times New Roman" w:hAnsi="Times New Roman" w:cs="Times New Roman"/>
        </w:rPr>
      </w:pPr>
      <w:r>
        <w:rPr>
          <w:rFonts w:ascii="Times New Roman" w:hAnsi="Times New Roman" w:cs="Times New Roman"/>
        </w:rPr>
        <w:t>2.   EXAMES REALIZADOS</w:t>
      </w:r>
    </w:p>
    <w:p w14:paraId="5C1333FF" w14:textId="4B3D5186"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2.1.   Controles Analíticos de Qualidade</w:t>
      </w:r>
    </w:p>
    <w:p w14:paraId="74DCBFB4" w14:textId="7CE4E3F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assegurar validade, rastreabilidade metrológica e reprodutibilidade dos resultados, foram adotados controles analíticos, conforme POP-QF-PHB-002 (V 1.0, 10/05/2026). </w:t>
      </w:r>
    </w:p>
    <w:p w14:paraId="53B35147" w14:textId="77777777" w:rsidR="00533532" w:rsidRPr="007B71B0" w:rsidRDefault="00533532" w:rsidP="00296B30">
      <w:pPr>
        <w:pStyle w:val="SemEspaamento"/>
      </w:pPr>
    </w:p>
    <w:p w14:paraId="2141F86C" w14:textId="0A6D5E7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2.2.   Exame Macroscópico</w:t>
      </w:r>
    </w:p>
    <w:p w14:paraId="7AE402B9" w14:textId="5B10E6B3"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Inspeção visual direta de todos os itens, com avaliação de coloração, morfologia, textura, acondicionamento e odor.</w:t>
      </w:r>
    </w:p>
    <w:p w14:paraId="18497BF4" w14:textId="77777777" w:rsidR="00533532" w:rsidRPr="007B71B0" w:rsidRDefault="00533532" w:rsidP="00296B30">
      <w:pPr>
        <w:pStyle w:val="SemEspaamento"/>
      </w:pPr>
    </w:p>
    <w:p w14:paraId="56250626" w14:textId="20CCE9F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2.3.   Ensaio Colorimétrico Presuntivo — Teste de Scott Modificado</w:t>
      </w:r>
    </w:p>
    <w:p w14:paraId="6569B6B8" w14:textId="1EC9DE66"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lastRenderedPageBreak/>
        <w:t>Frações representativas foram individualmente submetidas ao ensaio de Scott modificado (</w:t>
      </w:r>
      <w:r>
        <w:rPr>
          <w:rFonts w:ascii="Times New Roman" w:hAnsi="Times New Roman" w:cs="Times New Roman"/>
          <w:b/>
          <w:bCs/>
          <w:sz w:val="24"/>
          <w:szCs w:val="24"/>
        </w:rPr>
        <w:t>Categoria C — SWGDRUG Rev. 8.1, 2022</w:t>
      </w:r>
      <w:r>
        <w:rPr>
          <w:rFonts w:ascii="Times New Roman" w:hAnsi="Times New Roman" w:cs="Times New Roman"/>
          <w:sz w:val="24"/>
          <w:szCs w:val="24"/>
        </w:rPr>
        <w:t xml:space="preserve">), teste colorimétrico de orientação empregado na triagem de alcaloides </w:t>
      </w:r>
      <w:proofErr w:type="spellStart"/>
      <w:r>
        <w:rPr>
          <w:rFonts w:ascii="Times New Roman" w:hAnsi="Times New Roman" w:cs="Times New Roman"/>
          <w:sz w:val="24"/>
          <w:szCs w:val="24"/>
        </w:rPr>
        <w:t>tropânicos</w:t>
      </w:r>
      <w:proofErr w:type="spellEnd"/>
      <w:r>
        <w:rPr>
          <w:rFonts w:ascii="Times New Roman" w:hAnsi="Times New Roman" w:cs="Times New Roman"/>
          <w:sz w:val="24"/>
          <w:szCs w:val="24"/>
        </w:rPr>
        <w:t>, notadamente cocaína e substâncias correlatas. O método baseia-se na reação entre a amina terciária e solução de tiocianato de cobalto (II) [</w:t>
      </w:r>
      <w:proofErr w:type="gramStart"/>
      <w:r>
        <w:rPr>
          <w:rFonts w:ascii="Times New Roman" w:hAnsi="Times New Roman" w:cs="Times New Roman"/>
          <w:sz w:val="24"/>
          <w:szCs w:val="24"/>
        </w:rPr>
        <w:t>Co(</w:t>
      </w:r>
      <w:proofErr w:type="gramEnd"/>
      <w:r>
        <w:rPr>
          <w:rFonts w:ascii="Times New Roman" w:hAnsi="Times New Roman" w:cs="Times New Roman"/>
          <w:sz w:val="24"/>
          <w:szCs w:val="24"/>
        </w:rPr>
        <w:t>SCN)₂], com formação de complexo azul característico.</w:t>
      </w:r>
      <w:r>
        <w:rPr>
          <w:rStyle w:val="Refdenotaderodap"/>
          <w:rFonts w:ascii="Times New Roman" w:hAnsi="Times New Roman" w:cs="Times New Roman"/>
          <w:sz w:val="24"/>
          <w:szCs w:val="24"/>
        </w:rPr>
        <w:footnoteReference w:id="2"/>
      </w:r>
    </w:p>
    <w:p w14:paraId="7246FEB0"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Reagentes utilizados:</w:t>
      </w:r>
      <w:r>
        <w:rPr>
          <w:rFonts w:ascii="Times New Roman" w:hAnsi="Times New Roman" w:cs="Times New Roman"/>
          <w:sz w:val="24"/>
          <w:szCs w:val="24"/>
        </w:rPr>
        <w:t xml:space="preserve"> </w:t>
      </w:r>
      <w:proofErr w:type="gramStart"/>
      <w:r>
        <w:rPr>
          <w:rFonts w:ascii="Times New Roman" w:hAnsi="Times New Roman" w:cs="Times New Roman"/>
          <w:sz w:val="24"/>
          <w:szCs w:val="24"/>
        </w:rPr>
        <w:t>Co(</w:t>
      </w:r>
      <w:proofErr w:type="gramEnd"/>
      <w:r>
        <w:rPr>
          <w:rFonts w:ascii="Times New Roman" w:hAnsi="Times New Roman" w:cs="Times New Roman"/>
          <w:sz w:val="24"/>
          <w:szCs w:val="24"/>
        </w:rPr>
        <w:t xml:space="preserve">SCN)₂ (solução 1% aquosa); </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xml:space="preserve"> (10%); </w:t>
      </w:r>
      <w:proofErr w:type="spellStart"/>
      <w:r>
        <w:rPr>
          <w:rFonts w:ascii="Times New Roman" w:hAnsi="Times New Roman" w:cs="Times New Roman"/>
          <w:sz w:val="24"/>
          <w:szCs w:val="24"/>
        </w:rPr>
        <w:t>CHCl</w:t>
      </w:r>
      <w:proofErr w:type="spellEnd"/>
      <w:r>
        <w:rPr>
          <w:rFonts w:ascii="Times New Roman" w:hAnsi="Times New Roman" w:cs="Times New Roman"/>
          <w:sz w:val="24"/>
          <w:szCs w:val="24"/>
        </w:rPr>
        <w:t>₃ (</w:t>
      </w:r>
      <w:proofErr w:type="spellStart"/>
      <w:r>
        <w:rPr>
          <w:rFonts w:ascii="Times New Roman" w:hAnsi="Times New Roman" w:cs="Times New Roman"/>
          <w:sz w:val="24"/>
          <w:szCs w:val="24"/>
        </w:rPr>
        <w:t>p.a</w:t>
      </w:r>
      <w:proofErr w:type="spellEnd"/>
      <w:r>
        <w:rPr>
          <w:rFonts w:ascii="Times New Roman" w:hAnsi="Times New Roman" w:cs="Times New Roman"/>
          <w:sz w:val="24"/>
          <w:szCs w:val="24"/>
        </w:rPr>
        <w:t>.).</w:t>
      </w:r>
    </w:p>
    <w:p w14:paraId="28A58BEB"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Protocolo de três fases:</w:t>
      </w:r>
      <w:r>
        <w:rPr>
          <w:rFonts w:ascii="Times New Roman" w:hAnsi="Times New Roman" w:cs="Times New Roman"/>
          <w:sz w:val="24"/>
          <w:szCs w:val="24"/>
        </w:rPr>
        <w:t xml:space="preserve"> </w:t>
      </w:r>
      <w:r>
        <w:rPr>
          <w:rFonts w:ascii="Times New Roman" w:hAnsi="Times New Roman" w:cs="Times New Roman"/>
          <w:b/>
          <w:sz w:val="24"/>
          <w:szCs w:val="24"/>
        </w:rPr>
        <w:t>Fase 1</w:t>
      </w:r>
      <w:r>
        <w:rPr>
          <w:rFonts w:ascii="Times New Roman" w:hAnsi="Times New Roman" w:cs="Times New Roman"/>
          <w:sz w:val="24"/>
          <w:szCs w:val="24"/>
        </w:rPr>
        <w:t xml:space="preserve"> — formação do complexo azul [</w:t>
      </w:r>
      <w:proofErr w:type="gramStart"/>
      <w:r>
        <w:rPr>
          <w:rFonts w:ascii="Times New Roman" w:hAnsi="Times New Roman" w:cs="Times New Roman"/>
          <w:sz w:val="24"/>
          <w:szCs w:val="24"/>
        </w:rPr>
        <w:t>Co(</w:t>
      </w:r>
      <w:proofErr w:type="gramEnd"/>
      <w:r>
        <w:rPr>
          <w:rFonts w:ascii="Times New Roman" w:hAnsi="Times New Roman" w:cs="Times New Roman"/>
          <w:sz w:val="24"/>
          <w:szCs w:val="24"/>
        </w:rPr>
        <w:t xml:space="preserve">SCN)₂·alcaloide]; </w:t>
      </w:r>
      <w:r>
        <w:rPr>
          <w:rFonts w:ascii="Times New Roman" w:hAnsi="Times New Roman" w:cs="Times New Roman"/>
          <w:b/>
          <w:sz w:val="24"/>
          <w:szCs w:val="24"/>
        </w:rPr>
        <w:t>Fase 2</w:t>
      </w:r>
      <w:r>
        <w:rPr>
          <w:rFonts w:ascii="Times New Roman" w:hAnsi="Times New Roman" w:cs="Times New Roman"/>
          <w:sz w:val="24"/>
          <w:szCs w:val="24"/>
        </w:rPr>
        <w:t xml:space="preserve"> — adição de </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xml:space="preserve"> 10% com desaparecimento da coloração (confirmação de especificidade); </w:t>
      </w:r>
      <w:r>
        <w:rPr>
          <w:rFonts w:ascii="Times New Roman" w:hAnsi="Times New Roman" w:cs="Times New Roman"/>
          <w:b/>
          <w:sz w:val="24"/>
          <w:szCs w:val="24"/>
        </w:rPr>
        <w:t>Fase 3</w:t>
      </w:r>
      <w:r>
        <w:rPr>
          <w:rFonts w:ascii="Times New Roman" w:hAnsi="Times New Roman" w:cs="Times New Roman"/>
          <w:sz w:val="24"/>
          <w:szCs w:val="24"/>
        </w:rPr>
        <w:t xml:space="preserve"> — adição de </w:t>
      </w:r>
      <w:proofErr w:type="spellStart"/>
      <w:r>
        <w:rPr>
          <w:rFonts w:ascii="Times New Roman" w:hAnsi="Times New Roman" w:cs="Times New Roman"/>
          <w:sz w:val="24"/>
          <w:szCs w:val="24"/>
        </w:rPr>
        <w:t>CHCl</w:t>
      </w:r>
      <w:proofErr w:type="spellEnd"/>
      <w:r>
        <w:rPr>
          <w:rFonts w:ascii="Times New Roman" w:hAnsi="Times New Roman" w:cs="Times New Roman"/>
          <w:sz w:val="24"/>
          <w:szCs w:val="24"/>
        </w:rPr>
        <w:t xml:space="preserve">₃ </w:t>
      </w:r>
      <w:proofErr w:type="spellStart"/>
      <w:r>
        <w:rPr>
          <w:rFonts w:ascii="Times New Roman" w:hAnsi="Times New Roman" w:cs="Times New Roman"/>
          <w:sz w:val="24"/>
          <w:szCs w:val="24"/>
        </w:rPr>
        <w:t>p.a</w:t>
      </w:r>
      <w:proofErr w:type="spellEnd"/>
      <w:r>
        <w:rPr>
          <w:rFonts w:ascii="Times New Roman" w:hAnsi="Times New Roman" w:cs="Times New Roman"/>
          <w:sz w:val="24"/>
          <w:szCs w:val="24"/>
        </w:rPr>
        <w:t>. com reaparecimento da coloração azul na fase orgânica (diagnóstico de separação). A observação positiva das três fases na sequência descrita é condição indispensável para lavratura de resultado presuntivo positivo.</w:t>
      </w:r>
    </w:p>
    <w:p w14:paraId="7E6E8149" w14:textId="77777777" w:rsidR="00256A8B" w:rsidRDefault="00256A8B" w:rsidP="00256A8B">
      <w:pPr>
        <w:jc w:val="center"/>
      </w:pPr>
      <w:r>
        <w:rPr>
          <w:noProof/>
        </w:rPr>
        <w:drawing>
          <wp:inline distT="0" distB="0" distL="0" distR="0" wp14:anchorId="77CD9BAB" wp14:editId="25D9E13D">
            <wp:extent cx="4007922" cy="153084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rcRect/>
                    <a:stretch>
                      <a:fillRect/>
                    </a:stretch>
                  </pic:blipFill>
                  <pic:spPr bwMode="auto">
                    <a:xfrm>
                      <a:off x="0" y="0"/>
                      <a:ext cx="4143479" cy="1582972"/>
                    </a:xfrm>
                    <a:prstGeom prst="rect">
                      <a:avLst/>
                    </a:prstGeom>
                    <a:ln>
                      <a:noFill/>
                    </a:ln>
                  </pic:spPr>
                </pic:pic>
              </a:graphicData>
            </a:graphic>
          </wp:inline>
        </w:drawing>
      </w:r>
    </w:p>
    <w:p w14:paraId="7062C57A" w14:textId="77777777" w:rsidR="00256A8B" w:rsidRP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Reação geral do Ensaio de Scott Modificado (identificação de alcaloides) – </w:t>
      </w:r>
    </w:p>
    <w:p w14:paraId="183ED22F" w14:textId="2AF77937" w:rsid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teste colorimétrico baseado na reação com tiocianato de cobalto em meio ácido.</w:t>
      </w:r>
    </w:p>
    <w:p w14:paraId="72F1F6CA" w14:textId="77777777" w:rsidR="007C63D7" w:rsidRPr="00256A8B" w:rsidRDefault="007C63D7" w:rsidP="00256A8B">
      <w:pPr>
        <w:jc w:val="center"/>
        <w:rPr>
          <w:rFonts w:ascii="Times New Roman" w:eastAsia="Times New Roman" w:hAnsi="Times New Roman" w:cs="Times New Roman"/>
          <w:i/>
          <w:iCs/>
          <w:sz w:val="20"/>
          <w:szCs w:val="20"/>
        </w:rPr>
      </w:pPr>
    </w:p>
    <w:p w14:paraId="67835EA9" w14:textId="0A700A2D" w:rsidR="00FF6746" w:rsidRPr="007B71B0" w:rsidRDefault="00FF6746" w:rsidP="00FF6746">
      <w:pPr>
        <w:pStyle w:val="Ttulo2"/>
        <w:spacing w:before="120"/>
        <w:rPr>
          <w:rFonts w:ascii="Times New Roman" w:hAnsi="Times New Roman" w:cs="Times New Roman"/>
          <w:sz w:val="24"/>
          <w:szCs w:val="24"/>
        </w:rPr>
      </w:pPr>
      <w:r>
        <w:rPr>
          <w:rFonts w:ascii="Times New Roman" w:hAnsi="Times New Roman" w:cs="Times New Roman"/>
          <w:sz w:val="24"/>
          <w:szCs w:val="24"/>
        </w:rPr>
        <w:t>2.4.   Espectroscopia no Infravermelho por Transformada de Fourier (FTIR-ATR)</w:t>
      </w:r>
    </w:p>
    <w:p w14:paraId="6C82E5E6" w14:textId="77777777" w:rsidR="004C4BDD" w:rsidRDefault="004C4BDD" w:rsidP="004C4BDD">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w:t>
      </w:r>
      <w:bookmarkStart w:id="0" w:name="_Hlk231492246"/>
      <w:r>
        <w:rPr>
          <w:rFonts w:ascii="Times New Roman" w:hAnsi="Times New Roman" w:cs="Times New Roman"/>
          <w:sz w:val="24"/>
          <w:szCs w:val="24"/>
        </w:rPr>
        <w:t>dos itens questionados</w:t>
      </w:r>
      <w:bookmarkEnd w:id="0"/>
      <w:r>
        <w:rPr>
          <w:rFonts w:ascii="Times New Roman" w:hAnsi="Times New Roman" w:cs="Times New Roman"/>
          <w:sz w:val="24"/>
          <w:szCs w:val="24"/>
        </w:rPr>
        <w:t xml:space="preserve"> foram individualmente submetidas ao FTIR-ATR (</w:t>
      </w:r>
      <w:r>
        <w:rPr>
          <w:rFonts w:ascii="Times New Roman" w:hAnsi="Times New Roman" w:cs="Times New Roman"/>
          <w:b/>
          <w:bCs/>
          <w:sz w:val="24"/>
          <w:szCs w:val="24"/>
        </w:rPr>
        <w:t>Categoria A — SWGDRUG Rev. 8.1, 2022</w:t>
      </w:r>
      <w:r>
        <w:rPr>
          <w:rFonts w:ascii="Times New Roman" w:hAnsi="Times New Roman" w:cs="Times New Roman"/>
          <w:sz w:val="24"/>
          <w:szCs w:val="24"/>
        </w:rPr>
        <w:t>). 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74BAAADA" w14:textId="77777777" w:rsidR="004C4BDD" w:rsidRPr="007B71B0" w:rsidRDefault="004C4BDD" w:rsidP="004C4BDD">
      <w:pPr>
        <w:spacing w:before="80" w:after="80"/>
        <w:jc w:val="both"/>
        <w:rPr>
          <w:rFonts w:ascii="Times New Roman" w:hAnsi="Times New Roman" w:cs="Times New Roman"/>
          <w:sz w:val="24"/>
          <w:szCs w:val="24"/>
        </w:rPr>
      </w:pPr>
      <w:r>
        <w:rPr>
          <w:rFonts w:ascii="Times New Roman" w:hAnsi="Times New Roman" w:cs="Times New Roman"/>
          <w:b/>
          <w:bCs/>
          <w:sz w:val="24"/>
          <w:szCs w:val="24"/>
        </w:rPr>
        <w:t>Equipamento:</w:t>
      </w:r>
      <w:r>
        <w:rPr>
          <w:rFonts w:ascii="Times New Roman" w:hAnsi="Times New Roman" w:cs="Times New Roman"/>
          <w:sz w:val="24"/>
          <w:szCs w:val="24"/>
        </w:rPr>
        <w:t xml:space="preserve"> Espectrômetro </w:t>
      </w:r>
      <w:proofErr w:type="spellStart"/>
      <w:r>
        <w:rPr>
          <w:rStyle w:val="Forte"/>
          <w:rFonts w:ascii="Times New Roman" w:hAnsi="Times New Roman" w:cs="Times New Roman"/>
          <w:b w:val="0"/>
          <w:bCs w:val="0"/>
          <w:i/>
          <w:iCs/>
          <w:sz w:val="24"/>
          <w:szCs w:val="24"/>
        </w:rPr>
        <w:t>Bruker</w:t>
      </w:r>
      <w:proofErr w:type="spellEnd"/>
      <w:r>
        <w:rPr>
          <w:rStyle w:val="Forte"/>
          <w:rFonts w:ascii="Times New Roman" w:hAnsi="Times New Roman" w:cs="Times New Roman"/>
          <w:b w:val="0"/>
          <w:bCs w:val="0"/>
          <w:i/>
          <w:iCs/>
          <w:sz w:val="24"/>
          <w:szCs w:val="24"/>
        </w:rPr>
        <w:t xml:space="preserve"> Alpha II</w:t>
      </w:r>
      <w:r>
        <w:rPr>
          <w:rFonts w:ascii="Times New Roman" w:hAnsi="Times New Roman" w:cs="Times New Roman"/>
          <w:sz w:val="24"/>
          <w:szCs w:val="24"/>
        </w:rPr>
        <w:t>, equipado com acessório de Reflectância Total Atenuada (ATR) com cristal de diamante, operando na região espectral de 4000 a 650 cm⁻¹, com 16 varreduras (</w:t>
      </w:r>
      <w:proofErr w:type="spellStart"/>
      <w:r>
        <w:rPr>
          <w:rStyle w:val="nfase"/>
          <w:rFonts w:ascii="Times New Roman" w:hAnsi="Times New Roman" w:cs="Times New Roman"/>
          <w:sz w:val="24"/>
          <w:szCs w:val="24"/>
        </w:rPr>
        <w:t>scans</w:t>
      </w:r>
      <w:proofErr w:type="spellEnd"/>
      <w:r>
        <w:rPr>
          <w:rFonts w:ascii="Times New Roman" w:hAnsi="Times New Roman" w:cs="Times New Roman"/>
          <w:sz w:val="24"/>
          <w:szCs w:val="24"/>
        </w:rPr>
        <w:t xml:space="preserve">) e resolução de 4 cm⁻¹. O processamento e a identificação espectral foram realizados pelo software </w:t>
      </w:r>
      <w:r>
        <w:rPr>
          <w:rStyle w:val="nfase"/>
          <w:rFonts w:ascii="Times New Roman" w:hAnsi="Times New Roman" w:cs="Times New Roman"/>
          <w:sz w:val="24"/>
          <w:szCs w:val="24"/>
        </w:rPr>
        <w:t xml:space="preserve">OPUS </w:t>
      </w:r>
      <w:proofErr w:type="spellStart"/>
      <w:r>
        <w:rPr>
          <w:rStyle w:val="nfase"/>
          <w:rFonts w:ascii="Times New Roman" w:hAnsi="Times New Roman" w:cs="Times New Roman"/>
          <w:sz w:val="24"/>
          <w:szCs w:val="24"/>
        </w:rPr>
        <w:t>DrugID</w:t>
      </w:r>
      <w:proofErr w:type="spellEnd"/>
      <w:r>
        <w:rPr>
          <w:rStyle w:val="nfase"/>
          <w:rFonts w:ascii="Times New Roman" w:hAnsi="Times New Roman" w:cs="Times New Roman"/>
          <w:sz w:val="24"/>
          <w:szCs w:val="24"/>
        </w:rPr>
        <w:t xml:space="preserve"> </w:t>
      </w:r>
      <w:proofErr w:type="spellStart"/>
      <w:r>
        <w:rPr>
          <w:rStyle w:val="nfase"/>
          <w:rFonts w:ascii="Times New Roman" w:hAnsi="Times New Roman" w:cs="Times New Roman"/>
          <w:sz w:val="24"/>
          <w:szCs w:val="24"/>
        </w:rPr>
        <w:t>Wizard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Bruker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Optik</w:t>
      </w:r>
      <w:proofErr w:type="spellEnd"/>
      <w:r>
        <w:rPr>
          <w:rFonts w:ascii="Times New Roman" w:hAnsi="Times New Roman" w:cs="Times New Roman"/>
          <w:sz w:val="24"/>
          <w:szCs w:val="24"/>
        </w:rPr>
        <w:t xml:space="preserve"> GmbH).</w:t>
      </w:r>
    </w:p>
    <w:p w14:paraId="365B6780" w14:textId="4A0CBA25" w:rsidR="00CE1DD4" w:rsidRDefault="00CE1DD4" w:rsidP="00CE1DD4">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Os espectros obtidos foram salvos para garantia da cadeia de custódia e rastreabilidade do material, conforme POP SENASP nº 9.09 (2024), e comparado com espectros de referência por meio do software </w:t>
      </w:r>
      <w:r>
        <w:rPr>
          <w:rFonts w:ascii="Times New Roman" w:hAnsi="Times New Roman" w:cs="Times New Roman"/>
          <w:i/>
          <w:iCs/>
          <w:sz w:val="24"/>
          <w:szCs w:val="24"/>
        </w:rPr>
        <w:t xml:space="preserve">OPUS </w:t>
      </w:r>
      <w:proofErr w:type="spellStart"/>
      <w:r>
        <w:rPr>
          <w:rFonts w:ascii="Times New Roman" w:hAnsi="Times New Roman" w:cs="Times New Roman"/>
          <w:i/>
          <w:iCs/>
          <w:sz w:val="24"/>
          <w:szCs w:val="24"/>
        </w:rPr>
        <w:t>DrugID</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Wizard</w:t>
      </w:r>
      <w:proofErr w:type="spellEnd"/>
      <w:r>
        <w:rPr>
          <w:rFonts w:ascii="Times New Roman" w:hAnsi="Times New Roman" w:cs="Times New Roman"/>
          <w:sz w:val="24"/>
          <w:szCs w:val="24"/>
        </w:rPr>
        <w:t>. A avaliação não se limitou ao índice de correspondência (</w:t>
      </w:r>
      <w:r>
        <w:rPr>
          <w:rFonts w:ascii="Times New Roman" w:hAnsi="Times New Roman" w:cs="Times New Roman"/>
          <w:i/>
          <w:iCs/>
          <w:sz w:val="24"/>
          <w:szCs w:val="24"/>
        </w:rPr>
        <w:t>match</w:t>
      </w:r>
      <w:r>
        <w:rPr>
          <w:rFonts w:ascii="Times New Roman" w:hAnsi="Times New Roman" w:cs="Times New Roman"/>
          <w:sz w:val="24"/>
          <w:szCs w:val="24"/>
        </w:rPr>
        <w:t xml:space="preserve">) fornecido pelo software, sendo realizada </w:t>
      </w:r>
      <w:r>
        <w:rPr>
          <w:rFonts w:ascii="Times New Roman" w:hAnsi="Times New Roman" w:cs="Times New Roman"/>
          <w:b/>
          <w:bCs/>
          <w:sz w:val="24"/>
          <w:szCs w:val="24"/>
        </w:rPr>
        <w:t>comparação visual obrigatória</w:t>
      </w:r>
      <w:r>
        <w:rPr>
          <w:rFonts w:ascii="Times New Roman" w:hAnsi="Times New Roman" w:cs="Times New Roman"/>
          <w:sz w:val="24"/>
          <w:szCs w:val="24"/>
        </w:rPr>
        <w:t xml:space="preserve"> conforme POP SENASP nº 9.09 (2024, §5): (i) avaliação da aparência geral do espectro; (</w:t>
      </w:r>
      <w:proofErr w:type="spellStart"/>
      <w:r>
        <w:rPr>
          <w:rFonts w:ascii="Times New Roman" w:hAnsi="Times New Roman" w:cs="Times New Roman"/>
          <w:sz w:val="24"/>
          <w:szCs w:val="24"/>
        </w:rPr>
        <w:t>ii</w:t>
      </w:r>
      <w:proofErr w:type="spellEnd"/>
      <w:r>
        <w:rPr>
          <w:rFonts w:ascii="Times New Roman" w:hAnsi="Times New Roman" w:cs="Times New Roman"/>
          <w:sz w:val="24"/>
          <w:szCs w:val="24"/>
        </w:rPr>
        <w:t>) identificação das bandas diagnósticas principais do padrão de referência; (</w:t>
      </w:r>
      <w:proofErr w:type="spellStart"/>
      <w:r>
        <w:rPr>
          <w:rFonts w:ascii="Times New Roman" w:hAnsi="Times New Roman" w:cs="Times New Roman"/>
          <w:sz w:val="24"/>
          <w:szCs w:val="24"/>
        </w:rPr>
        <w:t>iii</w:t>
      </w:r>
      <w:proofErr w:type="spellEnd"/>
      <w:r>
        <w:rPr>
          <w:rFonts w:ascii="Times New Roman" w:hAnsi="Times New Roman" w:cs="Times New Roman"/>
          <w:sz w:val="24"/>
          <w:szCs w:val="24"/>
        </w:rPr>
        <w:t>) localização dessas bandas no espectro questionado (tolerância ±4 cm⁻¹).</w:t>
      </w:r>
      <w:r>
        <w:rPr>
          <w:rStyle w:val="Refdenotaderodap"/>
          <w:rFonts w:ascii="Times New Roman" w:hAnsi="Times New Roman" w:cs="Times New Roman"/>
          <w:sz w:val="24"/>
          <w:szCs w:val="24"/>
        </w:rPr>
        <w:footnoteReference w:id="3"/>
      </w:r>
    </w:p>
    <w:p w14:paraId="2B967F7D" w14:textId="46655709" w:rsidR="00256A8B" w:rsidRPr="00256A8B" w:rsidRDefault="00256A8B" w:rsidP="00256A8B">
      <w:pPr>
        <w:jc w:val="center"/>
        <w:rPr>
          <w:rFonts w:ascii="Times New Roman" w:hAnsi="Times New Roman" w:cs="Times New Roman"/>
          <w:i/>
          <w:iCs/>
          <w:sz w:val="20"/>
          <w:szCs w:val="20"/>
        </w:rPr>
      </w:pPr>
      <w:r>
        <w:rPr>
          <w:noProof/>
        </w:rPr>
        <w:lastRenderedPageBreak/>
        <w:drawing>
          <wp:anchor distT="0" distB="0" distL="114300" distR="114300" simplePos="0" relativeHeight="251659264" behindDoc="0" locked="0" layoutInCell="1" allowOverlap="1" wp14:anchorId="6F6C15E3" wp14:editId="7BC000E1">
            <wp:simplePos x="0" y="0"/>
            <wp:positionH relativeFrom="margin">
              <wp:posOffset>975360</wp:posOffset>
            </wp:positionH>
            <wp:positionV relativeFrom="paragraph">
              <wp:posOffset>174625</wp:posOffset>
            </wp:positionV>
            <wp:extent cx="4162425" cy="2352675"/>
            <wp:effectExtent l="19050" t="19050" r="2857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62425" cy="23526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p>
    <w:p w14:paraId="106D265C" w14:textId="38C8D647" w:rsidR="00256A8B" w:rsidRPr="00256A8B" w:rsidRDefault="00256A8B" w:rsidP="00256A8B">
      <w:pPr>
        <w:jc w:val="center"/>
        <w:rPr>
          <w:rFonts w:ascii="Times New Roman" w:hAnsi="Times New Roman" w:cs="Times New Roman"/>
          <w:i/>
          <w:iCs/>
          <w:sz w:val="20"/>
          <w:szCs w:val="20"/>
        </w:rPr>
      </w:pPr>
      <w:r>
        <w:rPr>
          <w:rFonts w:ascii="Times New Roman" w:hAnsi="Times New Roman" w:cs="Times New Roman"/>
          <w:i/>
          <w:iCs/>
          <w:sz w:val="20"/>
          <w:szCs w:val="20"/>
        </w:rPr>
        <w:t>Esquema didático de funcionamento do FTIR-ATR.</w:t>
      </w:r>
    </w:p>
    <w:p w14:paraId="2BFF7880" w14:textId="274CDD70" w:rsidR="00533532" w:rsidRPr="00296B30" w:rsidRDefault="00533532" w:rsidP="00296B30">
      <w:pPr>
        <w:pStyle w:val="SemEspaamento"/>
      </w:pPr>
    </w:p>
    <w:p w14:paraId="02BE8FA2" w14:textId="4C7CF776" w:rsidR="00533532" w:rsidRPr="00E6228B" w:rsidRDefault="004A4051" w:rsidP="00CE1DD4">
      <w:pPr>
        <w:pStyle w:val="Ttulo1"/>
        <w:rPr>
          <w:rFonts w:ascii="Times New Roman" w:hAnsi="Times New Roman" w:cs="Times New Roman"/>
        </w:rPr>
      </w:pPr>
      <w:r>
        <w:rPr>
          <w:rFonts w:ascii="Times New Roman" w:hAnsi="Times New Roman" w:cs="Times New Roman"/>
        </w:rPr>
        <w:t>3.   RESULTADOS OBTIDOS</w:t>
      </w:r>
    </w:p>
    <w:p w14:paraId="6398F81D" w14:textId="77777777" w:rsidR="00533532" w:rsidRPr="00E6228B" w:rsidRDefault="004A4051" w:rsidP="00CE1DD4">
      <w:pPr>
        <w:pStyle w:val="Ttulo2"/>
        <w:spacing w:before="120"/>
        <w:rPr>
          <w:rFonts w:ascii="Times New Roman" w:hAnsi="Times New Roman" w:cs="Times New Roman"/>
          <w:sz w:val="24"/>
          <w:szCs w:val="24"/>
        </w:rPr>
      </w:pPr>
      <w:r>
        <w:rPr>
          <w:rFonts w:ascii="Times New Roman" w:hAnsi="Times New Roman" w:cs="Times New Roman"/>
          <w:sz w:val="24"/>
          <w:szCs w:val="24"/>
        </w:rPr>
        <w:t>3.1   Ensaio Colorimétrico — Scott Modificado</w:t>
      </w:r>
    </w:p>
    <w:p w14:paraId="7E736E90" w14:textId="26080189" w:rsidR="00533532" w:rsidRDefault="00310CED" w:rsidP="008E04B3">
      <w:pPr>
        <w:spacing w:before="80" w:after="80"/>
        <w:jc w:val="both"/>
        <w:rPr>
          <w:rFonts w:ascii="Times New Roman" w:hAnsi="Times New Roman" w:cs="Times New Roman"/>
          <w:sz w:val="24"/>
          <w:szCs w:val="24"/>
        </w:rPr>
      </w:pPr>
      <w:r>
        <w:rPr>
          <w:rFonts w:ascii="Times New Roman" w:hAnsi="Times New Roman" w:cs="Times New Roman"/>
          <w:sz w:val="24"/>
          <w:szCs w:val="24"/>
        </w:rPr>
        <w:t>Cada amostra apresentou o seguinte comportamento reacional, registrado em todas as etapas do protocolo:</w:t>
      </w:r>
    </w:p>
    <w:p w14:paraId="4C9963C0" w14:textId="77777777" w:rsidR="008E04B3" w:rsidRPr="007B71B0" w:rsidRDefault="008E04B3" w:rsidP="008E04B3">
      <w:pPr>
        <w:jc w:val="cente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686"/>
        <w:gridCol w:w="2147"/>
        <w:gridCol w:w="1840"/>
        <w:gridCol w:w="2268"/>
        <w:gridCol w:w="2697"/>
      </w:tblGrid>
      <w:tr w:rsidR="008E04B3" w:rsidRPr="002E3AB8" w14:paraId="31565A0D" w14:textId="77777777" w:rsidTr="00397A29">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6" w:type="dxa"/>
            <w:vMerge w:val="restart"/>
          </w:tcPr>
          <w:p w14:paraId="33949731" w14:textId="77777777" w:rsidR="008E04B3" w:rsidRPr="002E3AB8" w:rsidRDefault="008E04B3" w:rsidP="001C73AF">
            <w:pPr>
              <w:spacing w:before="40" w:after="40" w:line="276" w:lineRule="auto"/>
              <w:jc w:val="center"/>
              <w:rPr>
                <w:rFonts w:ascii="Times New Roman" w:hAnsi="Times New Roman" w:cs="Times New Roman"/>
                <w:sz w:val="20"/>
                <w:szCs w:val="20"/>
              </w:rPr>
            </w:pPr>
            <w:r>
              <w:rPr>
                <w:rFonts w:ascii="Times New Roman" w:hAnsi="Times New Roman" w:cs="Times New Roman"/>
                <w:sz w:val="20"/>
                <w:szCs w:val="20"/>
              </w:rPr>
              <w:t>Item</w:t>
            </w:r>
          </w:p>
        </w:tc>
        <w:tc>
          <w:tcPr>
            <w:tcW w:w="2147" w:type="dxa"/>
          </w:tcPr>
          <w:p w14:paraId="6678EF7E" w14:textId="301963E3"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Fase 1</w:t>
            </w:r>
          </w:p>
        </w:tc>
        <w:tc>
          <w:tcPr>
            <w:tcW w:w="1840" w:type="dxa"/>
          </w:tcPr>
          <w:p w14:paraId="4888938F" w14:textId="74FAF9C5"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Fase 2</w:t>
            </w:r>
          </w:p>
        </w:tc>
        <w:tc>
          <w:tcPr>
            <w:tcW w:w="2268" w:type="dxa"/>
          </w:tcPr>
          <w:p w14:paraId="3A91A62C" w14:textId="7C42514F"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Fase 3</w:t>
            </w:r>
          </w:p>
        </w:tc>
        <w:tc>
          <w:tcPr>
            <w:tcW w:w="2697" w:type="dxa"/>
            <w:vMerge w:val="restart"/>
          </w:tcPr>
          <w:p w14:paraId="00A0BBEE" w14:textId="3176841E" w:rsidR="008E04B3" w:rsidRPr="002E3AB8" w:rsidRDefault="008E04B3" w:rsidP="001C73AF">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Resultado integrado</w:t>
            </w:r>
          </w:p>
        </w:tc>
      </w:tr>
      <w:tr w:rsidR="008E04B3" w:rsidRPr="002E3AB8" w14:paraId="14778BA3" w14:textId="77777777" w:rsidTr="00397A29">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686" w:type="dxa"/>
            <w:vMerge/>
          </w:tcPr>
          <w:p w14:paraId="4AC29E5B" w14:textId="77777777" w:rsidR="008E04B3" w:rsidRPr="002E3AB8" w:rsidRDefault="008E04B3" w:rsidP="008E04B3">
            <w:pPr>
              <w:spacing w:before="40" w:after="40" w:line="276" w:lineRule="auto"/>
              <w:jc w:val="center"/>
              <w:rPr>
                <w:rFonts w:ascii="Times New Roman" w:hAnsi="Times New Roman" w:cs="Times New Roman"/>
                <w:b w:val="0"/>
                <w:bCs w:val="0"/>
                <w:sz w:val="20"/>
                <w:szCs w:val="20"/>
              </w:rPr>
            </w:pPr>
          </w:p>
        </w:tc>
        <w:tc>
          <w:tcPr>
            <w:tcW w:w="2147" w:type="dxa"/>
          </w:tcPr>
          <w:p w14:paraId="2741D5F0" w14:textId="2F9EC230"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Pr>
                <w:rFonts w:ascii="Times New Roman" w:hAnsi="Times New Roman" w:cs="Times New Roman"/>
                <w:sz w:val="20"/>
                <w:szCs w:val="20"/>
              </w:rPr>
              <w:t xml:space="preserve"> </w:t>
            </w:r>
            <w:r>
              <w:rPr>
                <w:rFonts w:ascii="Times New Roman" w:hAnsi="Times New Roman" w:cs="Times New Roman"/>
                <w:i/>
                <w:iCs/>
                <w:sz w:val="20"/>
                <w:szCs w:val="20"/>
              </w:rPr>
              <w:t>Formação de precipitado azul [</w:t>
            </w:r>
            <w:proofErr w:type="gramStart"/>
            <w:r>
              <w:rPr>
                <w:rFonts w:ascii="Times New Roman" w:hAnsi="Times New Roman" w:cs="Times New Roman"/>
                <w:i/>
                <w:iCs/>
                <w:sz w:val="20"/>
                <w:szCs w:val="20"/>
              </w:rPr>
              <w:t>Co(</w:t>
            </w:r>
            <w:proofErr w:type="gramEnd"/>
            <w:r>
              <w:rPr>
                <w:rFonts w:ascii="Times New Roman" w:hAnsi="Times New Roman" w:cs="Times New Roman"/>
                <w:i/>
                <w:iCs/>
                <w:sz w:val="20"/>
                <w:szCs w:val="20"/>
              </w:rPr>
              <w:t>SCN)₂·cocaína]</w:t>
            </w:r>
          </w:p>
        </w:tc>
        <w:tc>
          <w:tcPr>
            <w:tcW w:w="1840" w:type="dxa"/>
          </w:tcPr>
          <w:p w14:paraId="23B9199A" w14:textId="403579BC"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Pr>
                <w:rFonts w:ascii="Times New Roman" w:hAnsi="Times New Roman" w:cs="Times New Roman"/>
                <w:i/>
                <w:iCs/>
                <w:sz w:val="20"/>
                <w:szCs w:val="20"/>
              </w:rPr>
              <w:t xml:space="preserve">Desaparecimento da coloração com </w:t>
            </w:r>
            <w:proofErr w:type="spellStart"/>
            <w:r>
              <w:rPr>
                <w:rFonts w:ascii="Times New Roman" w:hAnsi="Times New Roman" w:cs="Times New Roman"/>
                <w:i/>
                <w:iCs/>
                <w:sz w:val="20"/>
                <w:szCs w:val="20"/>
              </w:rPr>
              <w:t>HCl</w:t>
            </w:r>
            <w:proofErr w:type="spellEnd"/>
            <w:r>
              <w:rPr>
                <w:rFonts w:ascii="Times New Roman" w:hAnsi="Times New Roman" w:cs="Times New Roman"/>
                <w:i/>
                <w:iCs/>
                <w:sz w:val="20"/>
                <w:szCs w:val="20"/>
              </w:rPr>
              <w:t xml:space="preserve"> 10%</w:t>
            </w:r>
          </w:p>
        </w:tc>
        <w:tc>
          <w:tcPr>
            <w:tcW w:w="2268" w:type="dxa"/>
          </w:tcPr>
          <w:p w14:paraId="0F17F261" w14:textId="3B287FA5"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Pr>
                <w:rFonts w:ascii="Times New Roman" w:hAnsi="Times New Roman" w:cs="Times New Roman"/>
                <w:i/>
                <w:iCs/>
                <w:sz w:val="20"/>
                <w:szCs w:val="20"/>
              </w:rPr>
              <w:t>Reaparecimento da coloração azul na fase orgânica (</w:t>
            </w:r>
            <w:proofErr w:type="spellStart"/>
            <w:r>
              <w:rPr>
                <w:rFonts w:ascii="Times New Roman" w:hAnsi="Times New Roman" w:cs="Times New Roman"/>
                <w:i/>
                <w:iCs/>
                <w:sz w:val="20"/>
                <w:szCs w:val="20"/>
              </w:rPr>
              <w:t>CHCl</w:t>
            </w:r>
            <w:proofErr w:type="spellEnd"/>
            <w:r>
              <w:rPr>
                <w:rFonts w:ascii="Times New Roman" w:hAnsi="Times New Roman" w:cs="Times New Roman"/>
                <w:i/>
                <w:iCs/>
                <w:sz w:val="20"/>
                <w:szCs w:val="20"/>
              </w:rPr>
              <w:t>₃)</w:t>
            </w:r>
          </w:p>
        </w:tc>
        <w:tc>
          <w:tcPr>
            <w:tcW w:w="2697" w:type="dxa"/>
            <w:vMerge/>
          </w:tcPr>
          <w:p w14:paraId="24BA2704" w14:textId="77777777" w:rsidR="008E04B3" w:rsidRPr="002E3AB8"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p>
        </w:tc>
      </w:tr>
      <w:tr w:rsidR="00A063B7" w:rsidRPr="002E3AB8" w14:paraId="6482754F" w14:textId="77777777" w:rsidTr="00397A29">
        <w:trPr>
          <w:trHeight w:val="606"/>
        </w:trPr>
        <w:tc>
          <w:tcPr>
            <w:cnfStyle w:val="001000000000" w:firstRow="0" w:lastRow="0" w:firstColumn="1" w:lastColumn="0" w:oddVBand="0" w:evenVBand="0" w:oddHBand="0" w:evenHBand="0" w:firstRowFirstColumn="0" w:firstRowLastColumn="0" w:lastRowFirstColumn="0" w:lastRowLastColumn="0"/>
            <w:tcW w:w="686" w:type="dxa"/>
          </w:tcPr>
          <w:p w14:paraId="4DB84644" w14:textId="079A6CC0" w:rsidR="00A063B7" w:rsidRPr="002E3AB8" w:rsidRDefault="00A063B7" w:rsidP="00A063B7">
            <w:pPr>
              <w:spacing w:before="80" w:after="80" w:line="276" w:lineRule="auto"/>
              <w:jc w:val="center"/>
              <w:rPr>
                <w:rFonts w:ascii="Times New Roman" w:hAnsi="Times New Roman" w:cs="Times New Roman"/>
                <w:sz w:val="20"/>
                <w:szCs w:val="20"/>
              </w:rPr>
            </w:pPr>
            <w:r>
              <w:rPr>
                <w:rFonts w:ascii="Times New Roman" w:hAnsi="Times New Roman" w:cs="Times New Roman"/>
                <w:sz w:val="20"/>
                <w:szCs w:val="20"/>
              </w:rPr>
              <w:t>b.</w:t>
            </w:r>
          </w:p>
        </w:tc>
        <w:tc>
          <w:tcPr>
            <w:tcW w:w="2147" w:type="dxa"/>
          </w:tcPr>
          <w:p w14:paraId="316C89A1" w14:textId="5C186124" w:rsidR="00A063B7" w:rsidRPr="002E3AB8"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0"/>
                <w:szCs w:val="20"/>
              </w:rPr>
            </w:pPr>
            <w:r>
              <w:rPr>
                <w:rFonts w:ascii="Times New Roman" w:hAnsi="Times New Roman" w:cs="Times New Roman"/>
                <w:bCs/>
                <w:sz w:val="20"/>
                <w:szCs w:val="20"/>
              </w:rPr>
              <w:t>POSITIVO</w:t>
            </w:r>
          </w:p>
        </w:tc>
        <w:tc>
          <w:tcPr>
            <w:tcW w:w="1840" w:type="dxa"/>
          </w:tcPr>
          <w:p w14:paraId="2BE8A0AF" w14:textId="2E538788" w:rsidR="00A063B7" w:rsidRPr="002E3AB8"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CONFIRMADO</w:t>
            </w:r>
          </w:p>
        </w:tc>
        <w:tc>
          <w:tcPr>
            <w:tcW w:w="2268" w:type="dxa"/>
          </w:tcPr>
          <w:p w14:paraId="16692016" w14:textId="558343FF" w:rsidR="00A063B7" w:rsidRPr="002E3AB8"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CONFIRMADO</w:t>
            </w:r>
          </w:p>
        </w:tc>
        <w:tc>
          <w:tcPr>
            <w:tcW w:w="2697" w:type="dxa"/>
          </w:tcPr>
          <w:p w14:paraId="5A009C8B" w14:textId="27D47471" w:rsidR="00A063B7" w:rsidRPr="002E3AB8"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 xml:space="preserve">PRESUNTIVO POSITIVO para alcaloide </w:t>
            </w:r>
            <w:proofErr w:type="spellStart"/>
            <w:r>
              <w:rPr>
                <w:rFonts w:ascii="Times New Roman" w:hAnsi="Times New Roman" w:cs="Times New Roman"/>
                <w:b/>
                <w:bCs/>
                <w:sz w:val="20"/>
                <w:szCs w:val="20"/>
              </w:rPr>
              <w:t>tropânico</w:t>
            </w:r>
            <w:proofErr w:type="spellEnd"/>
          </w:p>
        </w:tc>
      </w:tr>
    </w:tbl>
    <w:p w14:paraId="3B77D382" w14:textId="1E55E1B6" w:rsidR="008E04B3" w:rsidRPr="00B674A3" w:rsidRDefault="008E04B3" w:rsidP="008E04B3">
      <w:pPr>
        <w:spacing w:before="80" w:after="80"/>
        <w:rPr>
          <w:rFonts w:ascii="Times New Roman" w:hAnsi="Times New Roman" w:cs="Times New Roman"/>
          <w:sz w:val="20"/>
          <w:szCs w:val="20"/>
        </w:rPr>
      </w:pPr>
      <w:r>
        <w:rPr>
          <w:rFonts w:ascii="Times New Roman" w:hAnsi="Times New Roman" w:cs="Times New Roman"/>
          <w:i/>
          <w:iCs/>
          <w:sz w:val="20"/>
          <w:szCs w:val="20"/>
        </w:rPr>
        <w:t>Tabela 2. Comportamento reacional das amostras no Scott modificado.</w:t>
      </w:r>
    </w:p>
    <w:p w14:paraId="66D34F8F" w14:textId="77777777" w:rsidR="00533532" w:rsidRPr="004622F5" w:rsidRDefault="00533532" w:rsidP="004622F5">
      <w:pPr>
        <w:jc w:val="both"/>
        <w:rPr>
          <w:rFonts w:ascii="Times New Roman" w:hAnsi="Times New Roman" w:cs="Times New Roman"/>
          <w:sz w:val="24"/>
          <w:szCs w:val="24"/>
        </w:rPr>
      </w:pPr>
    </w:p>
    <w:p w14:paraId="34BB3646" w14:textId="31BE69F3" w:rsidR="00397A29" w:rsidRPr="004622F5" w:rsidRDefault="00397A29" w:rsidP="00397A29">
      <w:pPr>
        <w:pStyle w:val="Ttulo2"/>
        <w:spacing w:before="120"/>
        <w:rPr>
          <w:rFonts w:ascii="Times New Roman" w:hAnsi="Times New Roman" w:cs="Times New Roman"/>
          <w:sz w:val="24"/>
          <w:szCs w:val="24"/>
        </w:rPr>
      </w:pPr>
      <w:r>
        <w:rPr>
          <w:rFonts w:ascii="Times New Roman" w:hAnsi="Times New Roman" w:cs="Times New Roman"/>
          <w:sz w:val="24"/>
          <w:szCs w:val="24"/>
        </w:rPr>
        <w:t>3.2.   Análise por FTIR-ATR — Item b.</w:t>
      </w:r>
    </w:p>
    <w:p w14:paraId="0D1DE8C2" w14:textId="77777777" w:rsidR="00397A29" w:rsidRPr="004622F5" w:rsidRDefault="00397A29" w:rsidP="00397A29">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Na análise por FTIR-ATR, o espectro obtido apresentou compatibilidade com o padrão de </w:t>
      </w:r>
      <w:r>
        <w:rPr>
          <w:rFonts w:ascii="Times New Roman" w:hAnsi="Times New Roman" w:cs="Times New Roman"/>
          <w:b/>
          <w:bCs/>
          <w:sz w:val="24"/>
          <w:szCs w:val="24"/>
        </w:rPr>
        <w:t xml:space="preserve">Cloridrato de cocaína </w:t>
      </w:r>
      <w:r>
        <w:rPr>
          <w:rFonts w:ascii="Times New Roman" w:hAnsi="Times New Roman" w:cs="Times New Roman"/>
          <w:sz w:val="24"/>
          <w:szCs w:val="24"/>
        </w:rPr>
        <w:t xml:space="preserve">em biblioteca de referência </w:t>
      </w:r>
      <w:r>
        <w:rPr>
          <w:rFonts w:ascii="Times New Roman" w:eastAsia="Times New Roman" w:hAnsi="Times New Roman" w:cs="Times New Roman"/>
          <w:sz w:val="24"/>
          <w:szCs w:val="24"/>
        </w:rPr>
        <w:t xml:space="preserve">consultada por meio do software </w:t>
      </w:r>
      <w:r>
        <w:rPr>
          <w:rFonts w:ascii="Times New Roman" w:eastAsia="Times New Roman" w:hAnsi="Times New Roman" w:cs="Times New Roman"/>
          <w:i/>
          <w:iCs/>
          <w:sz w:val="24"/>
          <w:szCs w:val="24"/>
        </w:rPr>
        <w:t xml:space="preserve">OPUS </w:t>
      </w:r>
      <w:proofErr w:type="spellStart"/>
      <w:r>
        <w:rPr>
          <w:rFonts w:ascii="Times New Roman" w:eastAsia="Times New Roman" w:hAnsi="Times New Roman" w:cs="Times New Roman"/>
          <w:i/>
          <w:iCs/>
          <w:sz w:val="24"/>
          <w:szCs w:val="24"/>
        </w:rPr>
        <w:t>DrugID</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Wizard</w:t>
      </w:r>
      <w:proofErr w:type="spellEnd"/>
      <w:r>
        <w:rPr>
          <w:rFonts w:ascii="Times New Roman" w:eastAsia="Times New Roman" w:hAnsi="Times New Roman" w:cs="Times New Roman"/>
          <w:i/>
          <w:iCs/>
          <w:sz w:val="24"/>
          <w:szCs w:val="24"/>
        </w:rPr>
        <w:t>.</w:t>
      </w:r>
      <w:r>
        <w:rPr>
          <w:rFonts w:ascii="Times New Roman" w:hAnsi="Times New Roman" w:cs="Times New Roman"/>
          <w:sz w:val="24"/>
          <w:szCs w:val="24"/>
        </w:rPr>
        <w:t xml:space="preserve"> Observou-se concordância com bandas diagnósticas atribuíveis ao </w:t>
      </w:r>
      <w:r>
        <w:rPr>
          <w:rFonts w:ascii="Times New Roman" w:hAnsi="Times New Roman" w:cs="Times New Roman"/>
          <w:b/>
          <w:bCs/>
          <w:sz w:val="24"/>
          <w:szCs w:val="24"/>
        </w:rPr>
        <w:t xml:space="preserve">Cloridrato de Cocaína — </w:t>
      </w:r>
      <w:proofErr w:type="spellStart"/>
      <w:r>
        <w:rPr>
          <w:rFonts w:ascii="Times New Roman" w:hAnsi="Times New Roman" w:cs="Times New Roman"/>
          <w:sz w:val="24"/>
          <w:szCs w:val="24"/>
        </w:rPr>
        <w:t>benzoilmetilecgonina·HCl</w:t>
      </w:r>
      <w:proofErr w:type="spellEnd"/>
      <w:r>
        <w:rPr>
          <w:rFonts w:ascii="Times New Roman" w:hAnsi="Times New Roman" w:cs="Times New Roman"/>
          <w:sz w:val="24"/>
          <w:szCs w:val="24"/>
        </w:rPr>
        <w:t xml:space="preserve">, nome IUPAC: </w:t>
      </w:r>
      <w:r>
        <w:rPr>
          <w:rFonts w:ascii="Times New Roman" w:hAnsi="Times New Roman" w:cs="Times New Roman"/>
          <w:i/>
          <w:iCs/>
          <w:sz w:val="24"/>
          <w:szCs w:val="24"/>
        </w:rPr>
        <w:t>metil (1R,2R,3S,5</w:t>
      </w:r>
      <w:proofErr w:type="gramStart"/>
      <w:r>
        <w:rPr>
          <w:rFonts w:ascii="Times New Roman" w:hAnsi="Times New Roman" w:cs="Times New Roman"/>
          <w:i/>
          <w:iCs/>
          <w:sz w:val="24"/>
          <w:szCs w:val="24"/>
        </w:rPr>
        <w:t>S)-</w:t>
      </w:r>
      <w:proofErr w:type="gramEnd"/>
      <w:r>
        <w:rPr>
          <w:rFonts w:ascii="Times New Roman" w:hAnsi="Times New Roman" w:cs="Times New Roman"/>
          <w:i/>
          <w:iCs/>
          <w:sz w:val="24"/>
          <w:szCs w:val="24"/>
        </w:rPr>
        <w:t>3-(benzoiloxi)-8-metil-8-azabiciclo[3.2.1]octano-2-carboxilato cloridrato</w:t>
      </w:r>
      <w:r>
        <w:rPr>
          <w:rFonts w:ascii="Times New Roman" w:hAnsi="Times New Roman" w:cs="Times New Roman"/>
          <w:sz w:val="24"/>
          <w:szCs w:val="24"/>
        </w:rPr>
        <w:t>. Fórmula molecular: C₁₇H₂₁NO₄·</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Peso molecular: 339,8 g/mol.</w:t>
      </w:r>
    </w:p>
    <w:tbl>
      <w:tblPr>
        <w:tblStyle w:val="TabeladeGrade4-nfase1"/>
        <w:tblW w:w="9638" w:type="dxa"/>
        <w:tblLook w:val="04A0" w:firstRow="1" w:lastRow="0" w:firstColumn="1" w:lastColumn="0" w:noHBand="0" w:noVBand="1"/>
      </w:tblPr>
      <w:tblGrid>
        <w:gridCol w:w="1800"/>
        <w:gridCol w:w="1700"/>
        <w:gridCol w:w="3138"/>
        <w:gridCol w:w="3000"/>
      </w:tblGrid>
      <w:tr w:rsidR="00397A29" w:rsidRPr="007A6772" w14:paraId="01670C83"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F771F56" w14:textId="77777777" w:rsidR="00397A29" w:rsidRPr="007A6772" w:rsidRDefault="00397A29" w:rsidP="00AC070B">
            <w:pPr>
              <w:spacing w:before="40" w:after="40"/>
              <w:jc w:val="center"/>
              <w:rPr>
                <w:rFonts w:ascii="Times New Roman" w:hAnsi="Times New Roman" w:cs="Times New Roman"/>
                <w:sz w:val="20"/>
                <w:szCs w:val="20"/>
              </w:rPr>
            </w:pPr>
            <w:r>
              <w:rPr>
                <w:rFonts w:ascii="Times New Roman" w:hAnsi="Times New Roman" w:cs="Times New Roman"/>
                <w:sz w:val="20"/>
                <w:szCs w:val="20"/>
              </w:rPr>
              <w:t>Região (cm⁻¹)</w:t>
            </w:r>
          </w:p>
        </w:tc>
        <w:tc>
          <w:tcPr>
            <w:tcW w:w="1700" w:type="dxa"/>
          </w:tcPr>
          <w:p w14:paraId="27F9FD50"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Intensidade</w:t>
            </w:r>
          </w:p>
        </w:tc>
        <w:tc>
          <w:tcPr>
            <w:tcW w:w="3138" w:type="dxa"/>
          </w:tcPr>
          <w:p w14:paraId="3C779C16"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Atribuição vibracional</w:t>
            </w:r>
          </w:p>
        </w:tc>
        <w:tc>
          <w:tcPr>
            <w:tcW w:w="3000" w:type="dxa"/>
          </w:tcPr>
          <w:p w14:paraId="53ABD068"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Grupo funcional</w:t>
            </w:r>
          </w:p>
        </w:tc>
      </w:tr>
      <w:tr w:rsidR="00397A29" w:rsidRPr="007A6772" w14:paraId="774B9C6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957B230"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~2700–2400</w:t>
            </w:r>
          </w:p>
        </w:tc>
        <w:tc>
          <w:tcPr>
            <w:tcW w:w="1700" w:type="dxa"/>
          </w:tcPr>
          <w:p w14:paraId="645BC8E8"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Larga, forte</w:t>
            </w:r>
          </w:p>
        </w:tc>
        <w:tc>
          <w:tcPr>
            <w:tcW w:w="3138" w:type="dxa"/>
          </w:tcPr>
          <w:p w14:paraId="3037600C"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N⁺–H — BANDA DIAGNÓSTICA DIFERENCIAL</w:t>
            </w:r>
            <w:r>
              <w:rPr>
                <w:rFonts w:ascii="Times New Roman" w:hAnsi="Times New Roman" w:cs="Times New Roman"/>
                <w:sz w:val="20"/>
                <w:szCs w:val="20"/>
              </w:rPr>
              <w:t>: presente no cloridrato, ausente na base livre</w:t>
            </w:r>
          </w:p>
        </w:tc>
        <w:tc>
          <w:tcPr>
            <w:tcW w:w="3000" w:type="dxa"/>
          </w:tcPr>
          <w:p w14:paraId="576C7830"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Amina terciária </w:t>
            </w:r>
            <w:proofErr w:type="spellStart"/>
            <w:r>
              <w:rPr>
                <w:rFonts w:ascii="Times New Roman" w:hAnsi="Times New Roman" w:cs="Times New Roman"/>
                <w:b/>
                <w:bCs/>
                <w:sz w:val="20"/>
                <w:szCs w:val="20"/>
              </w:rPr>
              <w:t>protonada</w:t>
            </w:r>
            <w:proofErr w:type="spellEnd"/>
          </w:p>
        </w:tc>
      </w:tr>
      <w:tr w:rsidR="00397A29" w:rsidRPr="007A6772" w14:paraId="5D6A9690" w14:textId="77777777" w:rsidTr="00397A29">
        <w:tc>
          <w:tcPr>
            <w:cnfStyle w:val="001000000000" w:firstRow="0" w:lastRow="0" w:firstColumn="1" w:lastColumn="0" w:oddVBand="0" w:evenVBand="0" w:oddHBand="0" w:evenHBand="0" w:firstRowFirstColumn="0" w:firstRowLastColumn="0" w:lastRowFirstColumn="0" w:lastRowLastColumn="0"/>
            <w:tcW w:w="1800" w:type="dxa"/>
          </w:tcPr>
          <w:p w14:paraId="2ABB385D"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~1738</w:t>
            </w:r>
          </w:p>
        </w:tc>
        <w:tc>
          <w:tcPr>
            <w:tcW w:w="1700" w:type="dxa"/>
          </w:tcPr>
          <w:p w14:paraId="6B6E1CD4" w14:textId="77777777" w:rsidR="00397A29" w:rsidRPr="007A677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7A54D112"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ν C=O éster </w:t>
            </w:r>
            <w:proofErr w:type="spellStart"/>
            <w:r>
              <w:rPr>
                <w:rFonts w:ascii="Times New Roman" w:hAnsi="Times New Roman" w:cs="Times New Roman"/>
                <w:b/>
                <w:bCs/>
                <w:sz w:val="20"/>
                <w:szCs w:val="20"/>
              </w:rPr>
              <w:t>benzóico</w:t>
            </w:r>
            <w:proofErr w:type="spellEnd"/>
            <w:r>
              <w:rPr>
                <w:rFonts w:ascii="Times New Roman" w:hAnsi="Times New Roman" w:cs="Times New Roman"/>
                <w:sz w:val="20"/>
                <w:szCs w:val="20"/>
              </w:rPr>
              <w:t xml:space="preserve"> — deslocado ~3 cm⁻¹ vs. forma base</w:t>
            </w:r>
          </w:p>
        </w:tc>
        <w:tc>
          <w:tcPr>
            <w:tcW w:w="3000" w:type="dxa"/>
          </w:tcPr>
          <w:p w14:paraId="22E59AA6"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Éster </w:t>
            </w:r>
            <w:proofErr w:type="spellStart"/>
            <w:r>
              <w:rPr>
                <w:rFonts w:ascii="Times New Roman" w:hAnsi="Times New Roman" w:cs="Times New Roman"/>
                <w:b/>
                <w:bCs/>
                <w:sz w:val="20"/>
                <w:szCs w:val="20"/>
              </w:rPr>
              <w:t>benzóico</w:t>
            </w:r>
            <w:proofErr w:type="spellEnd"/>
          </w:p>
        </w:tc>
      </w:tr>
      <w:tr w:rsidR="00397A29" w:rsidRPr="007A6772" w14:paraId="22A33A35"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D1EFE5C"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~1600</w:t>
            </w:r>
          </w:p>
        </w:tc>
        <w:tc>
          <w:tcPr>
            <w:tcW w:w="1700" w:type="dxa"/>
          </w:tcPr>
          <w:p w14:paraId="0910E66B"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38" w:type="dxa"/>
          </w:tcPr>
          <w:p w14:paraId="686445ED"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C=C aromático / δ N⁺–H</w:t>
            </w:r>
          </w:p>
        </w:tc>
        <w:tc>
          <w:tcPr>
            <w:tcW w:w="3000" w:type="dxa"/>
          </w:tcPr>
          <w:p w14:paraId="69DB71A2"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Aromático / amônio</w:t>
            </w:r>
          </w:p>
        </w:tc>
      </w:tr>
      <w:tr w:rsidR="00397A29" w:rsidRPr="007A6772" w14:paraId="7E01C31C" w14:textId="77777777" w:rsidTr="00397A29">
        <w:tc>
          <w:tcPr>
            <w:cnfStyle w:val="001000000000" w:firstRow="0" w:lastRow="0" w:firstColumn="1" w:lastColumn="0" w:oddVBand="0" w:evenVBand="0" w:oddHBand="0" w:evenHBand="0" w:firstRowFirstColumn="0" w:firstRowLastColumn="0" w:lastRowFirstColumn="0" w:lastRowLastColumn="0"/>
            <w:tcW w:w="1800" w:type="dxa"/>
          </w:tcPr>
          <w:p w14:paraId="6AFCBB5F"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1280–1240</w:t>
            </w:r>
          </w:p>
        </w:tc>
        <w:tc>
          <w:tcPr>
            <w:tcW w:w="1700" w:type="dxa"/>
          </w:tcPr>
          <w:p w14:paraId="7CAD2D95" w14:textId="77777777" w:rsidR="00397A29" w:rsidRPr="007A677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1ABAB9EC"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(éster)</w:t>
            </w:r>
          </w:p>
        </w:tc>
        <w:tc>
          <w:tcPr>
            <w:tcW w:w="3000" w:type="dxa"/>
          </w:tcPr>
          <w:p w14:paraId="087B51E7"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w:t>
            </w:r>
          </w:p>
        </w:tc>
      </w:tr>
      <w:tr w:rsidR="00397A29" w:rsidRPr="007A6772" w14:paraId="2EE82BD2"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4A71238"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1110–1050</w:t>
            </w:r>
          </w:p>
        </w:tc>
        <w:tc>
          <w:tcPr>
            <w:tcW w:w="1700" w:type="dxa"/>
          </w:tcPr>
          <w:p w14:paraId="3872AA5D"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21FE7838"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C–O–C (éster metílico)</w:t>
            </w:r>
          </w:p>
        </w:tc>
        <w:tc>
          <w:tcPr>
            <w:tcW w:w="3000" w:type="dxa"/>
          </w:tcPr>
          <w:p w14:paraId="3A56CC4B"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 metílico</w:t>
            </w:r>
          </w:p>
        </w:tc>
      </w:tr>
    </w:tbl>
    <w:p w14:paraId="1BE5D136" w14:textId="77777777" w:rsidR="00397A29" w:rsidRPr="007A6772" w:rsidRDefault="00397A29" w:rsidP="00397A29">
      <w:pPr>
        <w:spacing w:before="80" w:after="80"/>
        <w:rPr>
          <w:rFonts w:ascii="Times New Roman" w:hAnsi="Times New Roman" w:cs="Times New Roman"/>
          <w:sz w:val="20"/>
          <w:szCs w:val="20"/>
        </w:rPr>
      </w:pPr>
      <w:r>
        <w:rPr>
          <w:rFonts w:ascii="Times New Roman" w:hAnsi="Times New Roman" w:cs="Times New Roman"/>
          <w:i/>
          <w:iCs/>
          <w:sz w:val="20"/>
          <w:szCs w:val="20"/>
        </w:rPr>
        <w:t>Tabela 4. Bandas espectrais diagnósticas — FTIR-ATR — Cloridrato de Cocaína. A banda N⁺–H (~2700–2400 cm⁻¹), marcada em vermelho, é diagnóstica e diferencia inequivocamente a forma sal da forma base.</w:t>
      </w:r>
    </w:p>
    <w:p w14:paraId="5A97C7C0" w14:textId="77777777" w:rsidR="00397A29" w:rsidRDefault="00397A29" w:rsidP="00397A29">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C5323C9" wp14:editId="2C90BDCC">
            <wp:extent cx="2254250" cy="116438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076"/>
                    <a:stretch/>
                  </pic:blipFill>
                  <pic:spPr bwMode="auto">
                    <a:xfrm>
                      <a:off x="0" y="0"/>
                      <a:ext cx="2276013" cy="1175626"/>
                    </a:xfrm>
                    <a:prstGeom prst="rect">
                      <a:avLst/>
                    </a:prstGeom>
                    <a:ln>
                      <a:noFill/>
                    </a:ln>
                    <a:extLst>
                      <a:ext uri="{53640926-AAD7-44D8-BBD7-CCE9431645EC}">
                        <a14:shadowObscured xmlns:a14="http://schemas.microsoft.com/office/drawing/2010/main"/>
                      </a:ext>
                    </a:extLst>
                  </pic:spPr>
                </pic:pic>
              </a:graphicData>
            </a:graphic>
          </wp:inline>
        </w:drawing>
      </w:r>
    </w:p>
    <w:p w14:paraId="0BD7075D" w14:textId="77777777" w:rsidR="00397A29" w:rsidRPr="007D5047" w:rsidRDefault="00397A29" w:rsidP="00397A29">
      <w:pPr>
        <w:spacing w:before="80" w:after="80"/>
        <w:jc w:val="center"/>
        <w:rPr>
          <w:rFonts w:ascii="Times New Roman" w:hAnsi="Times New Roman" w:cs="Times New Roman"/>
          <w:i/>
          <w:iCs/>
          <w:sz w:val="20"/>
          <w:szCs w:val="20"/>
        </w:rPr>
      </w:pPr>
      <w:r>
        <w:rPr>
          <w:rFonts w:ascii="Times New Roman" w:hAnsi="Times New Roman" w:cs="Times New Roman"/>
          <w:i/>
          <w:iCs/>
          <w:sz w:val="20"/>
          <w:szCs w:val="20"/>
        </w:rPr>
        <w:t xml:space="preserve">Estrutura química da </w:t>
      </w:r>
      <w:proofErr w:type="spellStart"/>
      <w:r>
        <w:rPr>
          <w:rFonts w:ascii="Times New Roman" w:hAnsi="Times New Roman" w:cs="Times New Roman"/>
          <w:b/>
          <w:bCs/>
          <w:i/>
          <w:iCs/>
          <w:sz w:val="20"/>
          <w:szCs w:val="20"/>
        </w:rPr>
        <w:t>Cocaína.HCl</w:t>
      </w:r>
      <w:proofErr w:type="spellEnd"/>
    </w:p>
    <w:p w14:paraId="534242DE" w14:textId="77777777" w:rsidR="00397A29" w:rsidRPr="004622F5" w:rsidRDefault="00397A29" w:rsidP="00397A29">
      <w:pPr>
        <w:jc w:val="center"/>
        <w:rPr>
          <w:rFonts w:ascii="Times New Roman" w:hAnsi="Times New Roman" w:cs="Times New Roman"/>
          <w:sz w:val="24"/>
          <w:szCs w:val="24"/>
        </w:rPr>
      </w:pPr>
    </w:p>
    <w:p w14:paraId="619EF4AD" w14:textId="77777777" w:rsidR="00A05F41" w:rsidRPr="00B043CE" w:rsidRDefault="00A05F41" w:rsidP="00A05F41">
      <w:pPr>
        <w:pStyle w:val="Ttulo1"/>
        <w:rPr>
          <w:rFonts w:ascii="Times New Roman" w:hAnsi="Times New Roman" w:cs="Times New Roman"/>
        </w:rPr>
      </w:pPr>
      <w:r>
        <w:rPr>
          <w:rFonts w:ascii="Times New Roman" w:hAnsi="Times New Roman" w:cs="Times New Roman"/>
        </w:rPr>
        <w:t>4.   CONCLUSÃO</w:t>
      </w:r>
      <w:r>
        <w:rPr>
          <w:rStyle w:val="Refdenotaderodap"/>
          <w:rFonts w:ascii="Times New Roman" w:hAnsi="Times New Roman" w:cs="Times New Roman"/>
        </w:rPr>
        <w:footnoteReference w:id="4"/>
      </w:r>
    </w:p>
    <w:p w14:paraId="262808D6" w14:textId="6F41EAF5" w:rsidR="00533532" w:rsidRPr="00B043CE" w:rsidRDefault="004A4051" w:rsidP="00397A29">
      <w:pPr>
        <w:spacing w:before="80" w:after="80"/>
        <w:jc w:val="both"/>
        <w:rPr>
          <w:rFonts w:ascii="Times New Roman" w:hAnsi="Times New Roman" w:cs="Times New Roman"/>
          <w:sz w:val="24"/>
          <w:szCs w:val="24"/>
        </w:rPr>
      </w:pPr>
      <w:r>
        <w:rPr>
          <w:rFonts w:ascii="Times New Roman" w:hAnsi="Times New Roman" w:cs="Times New Roman"/>
          <w:sz w:val="24"/>
          <w:szCs w:val="24"/>
        </w:rPr>
        <w:t>Com fundamento nos exames realizados — ensaios colorimétricos presuntivos (</w:t>
      </w:r>
      <w:r>
        <w:rPr>
          <w:rFonts w:ascii="Times New Roman" w:hAnsi="Times New Roman" w:cs="Times New Roman"/>
          <w:b/>
          <w:bCs/>
          <w:sz w:val="24"/>
          <w:szCs w:val="24"/>
        </w:rPr>
        <w:t>Categoria C/SWGDRUG</w:t>
      </w:r>
      <w:r>
        <w:rPr>
          <w:rFonts w:ascii="Times New Roman" w:hAnsi="Times New Roman" w:cs="Times New Roman"/>
          <w:sz w:val="24"/>
          <w:szCs w:val="24"/>
        </w:rPr>
        <w:t>) e identificação instrumental confirmatória por FTIR-ATR (</w:t>
      </w:r>
      <w:r>
        <w:rPr>
          <w:rFonts w:ascii="Times New Roman" w:hAnsi="Times New Roman" w:cs="Times New Roman"/>
          <w:b/>
          <w:bCs/>
          <w:sz w:val="24"/>
          <w:szCs w:val="24"/>
        </w:rPr>
        <w:t>Categoria A/SWGDRUG</w:t>
      </w:r>
      <w:r>
        <w:rPr>
          <w:rFonts w:ascii="Times New Roman" w:hAnsi="Times New Roman" w:cs="Times New Roman"/>
          <w:sz w:val="24"/>
          <w:szCs w:val="24"/>
        </w:rPr>
        <w:t>), em conformidade com o POP SENASP/MJ nº 9.09 (2024) e as diretrizes SWGDRUG Rev. 8.1 (2022) —, conclui-se que:</w:t>
      </w:r>
    </w:p>
    <w:p w14:paraId="6640B428" w14:textId="77777777" w:rsidR="00397A29" w:rsidRPr="00B043CE" w:rsidRDefault="00397A29" w:rsidP="00397A29">
      <w:pP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9638"/>
      </w:tblGrid>
      <w:tr w:rsidR="00397A29" w:rsidRPr="00B043CE" w14:paraId="1C7777D8" w14:textId="77777777" w:rsidTr="00AC07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5B4C62CF" w14:textId="77777777" w:rsidR="00397A29" w:rsidRPr="00B043CE" w:rsidRDefault="00397A29" w:rsidP="00AC070B">
            <w:pPr>
              <w:spacing w:before="60" w:after="60" w:line="276" w:lineRule="auto"/>
              <w:jc w:val="center"/>
              <w:rPr>
                <w:rFonts w:ascii="Times New Roman" w:hAnsi="Times New Roman" w:cs="Times New Roman"/>
                <w:sz w:val="24"/>
                <w:szCs w:val="24"/>
              </w:rPr>
            </w:pPr>
            <w:r>
              <w:rPr>
                <w:rFonts w:ascii="Times New Roman" w:hAnsi="Times New Roman" w:cs="Times New Roman"/>
                <w:sz w:val="24"/>
                <w:szCs w:val="24"/>
              </w:rPr>
              <w:t>Item b. — Cloridrato De Cocaína</w:t>
            </w:r>
          </w:p>
        </w:tc>
      </w:tr>
      <w:tr w:rsidR="00397A29" w:rsidRPr="00B043CE" w14:paraId="1BC3AFF6" w14:textId="77777777" w:rsidTr="00AC0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2E3D4860" w14:textId="77777777" w:rsidR="00397A29" w:rsidRPr="00505BB0" w:rsidRDefault="00397A29" w:rsidP="00AC070B">
            <w:pPr>
              <w:spacing w:before="80" w:after="80"/>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A análise realizada </w:t>
            </w:r>
            <w:r>
              <w:rPr>
                <w:rFonts w:ascii="Times New Roman" w:hAnsi="Times New Roman" w:cs="Times New Roman"/>
                <w:sz w:val="24"/>
                <w:szCs w:val="24"/>
              </w:rPr>
              <w:t>DETECTOU</w:t>
            </w:r>
            <w:r>
              <w:rPr>
                <w:rFonts w:ascii="Times New Roman" w:hAnsi="Times New Roman" w:cs="Times New Roman"/>
                <w:b w:val="0"/>
                <w:bCs w:val="0"/>
                <w:sz w:val="24"/>
                <w:szCs w:val="24"/>
              </w:rPr>
              <w:t xml:space="preserve"> a presença de </w:t>
            </w:r>
            <w:r>
              <w:rPr>
                <w:rFonts w:ascii="Times New Roman" w:hAnsi="Times New Roman" w:cs="Times New Roman"/>
                <w:sz w:val="24"/>
                <w:szCs w:val="24"/>
              </w:rPr>
              <w:t>Cloridrato De Cocaína</w:t>
            </w:r>
            <w:r>
              <w:rPr>
                <w:rFonts w:ascii="Times New Roman" w:hAnsi="Times New Roman" w:cs="Times New Roman"/>
                <w:b w:val="0"/>
                <w:bCs w:val="0"/>
                <w:sz w:val="24"/>
                <w:szCs w:val="24"/>
              </w:rPr>
              <w:t xml:space="preserve"> — </w:t>
            </w:r>
            <w:proofErr w:type="spellStart"/>
            <w:r>
              <w:rPr>
                <w:rFonts w:ascii="Times New Roman" w:hAnsi="Times New Roman" w:cs="Times New Roman"/>
                <w:b w:val="0"/>
                <w:bCs w:val="0"/>
                <w:sz w:val="24"/>
                <w:szCs w:val="24"/>
              </w:rPr>
              <w:t>Benzoilmetilecgonina·HCl</w:t>
            </w:r>
            <w:proofErr w:type="spellEnd"/>
            <w:r>
              <w:rPr>
                <w:rFonts w:ascii="Times New Roman" w:hAnsi="Times New Roman" w:cs="Times New Roman"/>
                <w:b w:val="0"/>
                <w:bCs w:val="0"/>
                <w:sz w:val="24"/>
                <w:szCs w:val="24"/>
              </w:rPr>
              <w:t xml:space="preserve"> (C₁₇H₂₁NO₄·</w:t>
            </w:r>
            <w:proofErr w:type="spellStart"/>
            <w:r>
              <w:rPr>
                <w:rFonts w:ascii="Times New Roman" w:hAnsi="Times New Roman" w:cs="Times New Roman"/>
                <w:b w:val="0"/>
                <w:bCs w:val="0"/>
                <w:sz w:val="24"/>
                <w:szCs w:val="24"/>
              </w:rPr>
              <w:t>HCl</w:t>
            </w:r>
            <w:proofErr w:type="spellEnd"/>
            <w:r>
              <w:rPr>
                <w:rFonts w:ascii="Times New Roman" w:hAnsi="Times New Roman" w:cs="Times New Roman"/>
                <w:b w:val="0"/>
                <w:bCs w:val="0"/>
                <w:sz w:val="24"/>
                <w:szCs w:val="24"/>
              </w:rPr>
              <w:t xml:space="preserve">, PM 339,8 g/mol) no material sólido branco examinado. </w:t>
            </w:r>
          </w:p>
          <w:p w14:paraId="000E597B" w14:textId="77777777" w:rsidR="00397A29" w:rsidRPr="00505BB0" w:rsidRDefault="00397A29" w:rsidP="00AC070B">
            <w:pPr>
              <w:rPr>
                <w:rFonts w:ascii="Times New Roman" w:hAnsi="Times New Roman" w:cs="Times New Roman"/>
                <w:b w:val="0"/>
                <w:bCs w:val="0"/>
                <w:sz w:val="24"/>
                <w:szCs w:val="24"/>
              </w:rPr>
            </w:pPr>
          </w:p>
          <w:p w14:paraId="418B658D" w14:textId="77777777" w:rsidR="00397A29" w:rsidRPr="00505BB0" w:rsidRDefault="00397A29" w:rsidP="00AC070B">
            <w:pPr>
              <w:spacing w:before="80" w:after="80"/>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O </w:t>
            </w:r>
            <w:r>
              <w:rPr>
                <w:rFonts w:ascii="Times New Roman" w:hAnsi="Times New Roman" w:cs="Times New Roman"/>
                <w:sz w:val="24"/>
                <w:szCs w:val="24"/>
              </w:rPr>
              <w:t>cloridrato de cocaína</w:t>
            </w:r>
            <w:r>
              <w:rPr>
                <w:rFonts w:ascii="Times New Roman" w:hAnsi="Times New Roman" w:cs="Times New Roman"/>
                <w:b w:val="0"/>
                <w:bCs w:val="0"/>
                <w:sz w:val="24"/>
                <w:szCs w:val="24"/>
              </w:rPr>
              <w:t xml:space="preserve"> é substância de ação entorpecente/psicotrópica, apta a produzir dependência física e/ou psíquica, relacionada na </w:t>
            </w:r>
            <w:r>
              <w:rPr>
                <w:rFonts w:ascii="Times New Roman" w:hAnsi="Times New Roman" w:cs="Times New Roman"/>
                <w:sz w:val="24"/>
                <w:szCs w:val="24"/>
              </w:rPr>
              <w:t>Lista F1</w:t>
            </w:r>
            <w:r>
              <w:rPr>
                <w:rFonts w:ascii="Times New Roman" w:hAnsi="Times New Roman" w:cs="Times New Roman"/>
                <w:b w:val="0"/>
                <w:bCs w:val="0"/>
                <w:sz w:val="24"/>
                <w:szCs w:val="24"/>
              </w:rPr>
              <w:t xml:space="preserve"> — Substâncias Entorpecentes de uso proscrito no Brasil da Portaria SVS/MS nº 344, de 12/05/1998 e atualizações posteriores (ANVISA).</w:t>
            </w:r>
          </w:p>
        </w:tc>
      </w:tr>
    </w:tbl>
    <w:p w14:paraId="3D423A66" w14:textId="77777777" w:rsidR="00397A29" w:rsidRPr="00B043CE" w:rsidRDefault="00397A29" w:rsidP="00397A29">
      <w:pPr>
        <w:rPr>
          <w:rFonts w:ascii="Times New Roman" w:hAnsi="Times New Roman" w:cs="Times New Roman"/>
          <w:sz w:val="24"/>
          <w:szCs w:val="24"/>
        </w:rPr>
      </w:pPr>
      <w:bookmarkStart w:id="1" w:name="_Hlk231540727"/>
    </w:p>
    <w:bookmarkEnd w:id="1"/>
    <w:p w14:paraId="57AAE591" w14:textId="71658727" w:rsidR="00533532" w:rsidRPr="00046E70" w:rsidRDefault="004A4051" w:rsidP="00584034">
      <w:pPr>
        <w:spacing w:before="80" w:after="80"/>
        <w:jc w:val="both"/>
        <w:rPr>
          <w:rFonts w:ascii="Times New Roman" w:hAnsi="Times New Roman" w:cs="Times New Roman"/>
          <w:color w:val="002060"/>
          <w:sz w:val="24"/>
          <w:szCs w:val="24"/>
        </w:rPr>
      </w:pPr>
      <w:r>
        <w:rPr>
          <w:rFonts w:ascii="Times New Roman" w:hAnsi="Times New Roman" w:cs="Times New Roman"/>
          <w:b/>
          <w:bCs/>
          <w:color w:val="002060"/>
          <w:sz w:val="24"/>
          <w:szCs w:val="24"/>
        </w:rPr>
        <w:t>5.   QUADRO-RESUMO</w:t>
      </w:r>
    </w:p>
    <w:p w14:paraId="5235C33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Identificação</w:t>
      </w:r>
    </w:p>
    <w:tbl>
      <w:tblPr>
        <w:tblStyle w:val="TabeladeGrade4-nfase1"/>
        <w:tblW w:w="9638" w:type="dxa"/>
        <w:tblLook w:val="04A0" w:firstRow="1" w:lastRow="0" w:firstColumn="1" w:lastColumn="0" w:noHBand="0" w:noVBand="1"/>
      </w:tblPr>
      <w:tblGrid>
        <w:gridCol w:w="3200"/>
        <w:gridCol w:w="6438"/>
      </w:tblGrid>
      <w:tr w:rsidR="00533532" w:rsidRPr="00C371C9" w14:paraId="0917810C"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38E0EA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CAMPO</w:t>
            </w:r>
          </w:p>
        </w:tc>
        <w:tc>
          <w:tcPr>
            <w:tcW w:w="6438" w:type="dxa"/>
          </w:tcPr>
          <w:p w14:paraId="2BD442E8"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5037EDC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5BE56C4"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w:t>
            </w:r>
          </w:p>
        </w:tc>
        <w:tc>
          <w:tcPr>
            <w:tcW w:w="6438" w:type="dxa"/>
          </w:tcPr>
          <w:p w14:paraId="521379E3"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[DEMANDA]</w:t>
            </w:r>
          </w:p>
        </w:tc>
      </w:tr>
      <w:tr w:rsidR="00533532" w:rsidRPr="00C371C9" w14:paraId="61DDE3B3"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0CA8DB5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Laudo nº</w:t>
            </w:r>
          </w:p>
        </w:tc>
        <w:tc>
          <w:tcPr>
            <w:tcW w:w="6438" w:type="dxa"/>
          </w:tcPr>
          <w:p w14:paraId="44F40E8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[LAUDO]</w:t>
            </w:r>
          </w:p>
        </w:tc>
      </w:tr>
      <w:tr w:rsidR="00533532" w:rsidRPr="00C371C9" w14:paraId="04190164"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8752CA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Requisição nº</w:t>
            </w:r>
          </w:p>
        </w:tc>
        <w:tc>
          <w:tcPr>
            <w:tcW w:w="6438" w:type="dxa"/>
          </w:tcPr>
          <w:p w14:paraId="623E1E30"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[REQUISIÇÃO]</w:t>
            </w:r>
          </w:p>
        </w:tc>
      </w:tr>
      <w:tr w:rsidR="00533532" w:rsidRPr="00C371C9" w14:paraId="5DC5C595"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4E5706A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w:t>
            </w:r>
          </w:p>
        </w:tc>
        <w:tc>
          <w:tcPr>
            <w:tcW w:w="6438" w:type="dxa"/>
          </w:tcPr>
          <w:p w14:paraId="7BA7571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10E31348" w14:textId="77777777" w:rsidTr="00397A29">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0739BB1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Emissor</w:t>
            </w:r>
          </w:p>
        </w:tc>
        <w:tc>
          <w:tcPr>
            <w:tcW w:w="6438" w:type="dxa"/>
          </w:tcPr>
          <w:p w14:paraId="4CCA887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[EMISSOR]</w:t>
            </w:r>
          </w:p>
        </w:tc>
      </w:tr>
      <w:tr w:rsidR="00533532" w:rsidRPr="00C371C9" w14:paraId="05DA498B"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72676BE6"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Procedimento policial</w:t>
            </w:r>
          </w:p>
        </w:tc>
        <w:tc>
          <w:tcPr>
            <w:tcW w:w="6438" w:type="dxa"/>
          </w:tcPr>
          <w:p w14:paraId="04A33FF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BO [BO]</w:t>
            </w:r>
          </w:p>
        </w:tc>
      </w:tr>
      <w:tr w:rsidR="00533532" w:rsidRPr="00C371C9" w14:paraId="2F22C11C"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244064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Envolvido / CPF</w:t>
            </w:r>
          </w:p>
        </w:tc>
        <w:tc>
          <w:tcPr>
            <w:tcW w:w="6438" w:type="dxa"/>
          </w:tcPr>
          <w:p w14:paraId="26B2A9A4"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[ENVOLVIDO] — CPF [CPF]</w:t>
            </w:r>
          </w:p>
        </w:tc>
      </w:tr>
      <w:tr w:rsidR="00533532" w:rsidRPr="00C371C9" w14:paraId="6E9390D9"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6357226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20D0352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[DESTINO]</w:t>
            </w:r>
          </w:p>
        </w:tc>
      </w:tr>
    </w:tbl>
    <w:p w14:paraId="2E28CED1" w14:textId="77777777" w:rsidR="00533532" w:rsidRPr="00C371C9" w:rsidRDefault="00533532" w:rsidP="00C371C9">
      <w:pPr>
        <w:rPr>
          <w:rFonts w:ascii="Times New Roman" w:hAnsi="Times New Roman" w:cs="Times New Roman"/>
        </w:rPr>
      </w:pPr>
    </w:p>
    <w:p w14:paraId="6E92F6AC"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Cadeia de Custódia — Sistema AMPLO</w:t>
      </w:r>
    </w:p>
    <w:tbl>
      <w:tblPr>
        <w:tblStyle w:val="TabeladeGrade4-nfase1"/>
        <w:tblW w:w="9638" w:type="dxa"/>
        <w:tblLook w:val="04A0" w:firstRow="1" w:lastRow="0" w:firstColumn="1" w:lastColumn="0" w:noHBand="0" w:noVBand="1"/>
      </w:tblPr>
      <w:tblGrid>
        <w:gridCol w:w="3200"/>
        <w:gridCol w:w="6438"/>
      </w:tblGrid>
      <w:tr w:rsidR="00533532" w:rsidRPr="00C371C9" w14:paraId="14E0C62A"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70E210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ETAPA</w:t>
            </w:r>
          </w:p>
        </w:tc>
        <w:tc>
          <w:tcPr>
            <w:tcW w:w="6438" w:type="dxa"/>
          </w:tcPr>
          <w:p w14:paraId="14156C1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69B40C43"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E1EECE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de entrada</w:t>
            </w:r>
          </w:p>
        </w:tc>
        <w:tc>
          <w:tcPr>
            <w:tcW w:w="6438" w:type="dxa"/>
          </w:tcPr>
          <w:p w14:paraId="537279B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[ENV_ENTRADA]</w:t>
            </w:r>
          </w:p>
        </w:tc>
      </w:tr>
      <w:tr w:rsidR="00533532" w:rsidRPr="00C371C9" w14:paraId="5A6BB4DD"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3B475BA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 de entrada</w:t>
            </w:r>
          </w:p>
        </w:tc>
        <w:tc>
          <w:tcPr>
            <w:tcW w:w="6438" w:type="dxa"/>
          </w:tcPr>
          <w:p w14:paraId="3B94E6E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29521268"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10666E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nº (AMPLO)</w:t>
            </w:r>
          </w:p>
        </w:tc>
        <w:tc>
          <w:tcPr>
            <w:tcW w:w="6438" w:type="dxa"/>
          </w:tcPr>
          <w:p w14:paraId="1DA6F6A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[AMPLO]</w:t>
            </w:r>
          </w:p>
        </w:tc>
      </w:tr>
      <w:tr w:rsidR="00533532" w:rsidRPr="00C371C9" w14:paraId="29C50190"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4C98E52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 Preliminar</w:t>
            </w:r>
          </w:p>
        </w:tc>
        <w:tc>
          <w:tcPr>
            <w:tcW w:w="6438" w:type="dxa"/>
          </w:tcPr>
          <w:p w14:paraId="209C5DB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725077BE"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5D9CC5B"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lastRenderedPageBreak/>
              <w:t>Envelope pós-preliminar</w:t>
            </w:r>
          </w:p>
        </w:tc>
        <w:tc>
          <w:tcPr>
            <w:tcW w:w="6438" w:type="dxa"/>
          </w:tcPr>
          <w:p w14:paraId="0F8166C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3B13DA9D"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140EAE9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pós-definitivo</w:t>
            </w:r>
          </w:p>
        </w:tc>
        <w:tc>
          <w:tcPr>
            <w:tcW w:w="6438" w:type="dxa"/>
          </w:tcPr>
          <w:p w14:paraId="124D5072"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[ENV_POS_DEF]</w:t>
            </w:r>
          </w:p>
        </w:tc>
      </w:tr>
      <w:tr w:rsidR="00533532" w:rsidRPr="00C371C9" w14:paraId="3EC9CCB8"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3B6918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Contraprova nº (AMPLO)</w:t>
            </w:r>
          </w:p>
        </w:tc>
        <w:tc>
          <w:tcPr>
            <w:tcW w:w="6438" w:type="dxa"/>
          </w:tcPr>
          <w:p w14:paraId="0DF9AF61"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[CP_AMPLO]</w:t>
            </w:r>
          </w:p>
        </w:tc>
      </w:tr>
      <w:tr w:rsidR="00533532" w:rsidRPr="00C371C9" w14:paraId="7E4DBA0F"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5EBF765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contraprova</w:t>
            </w:r>
          </w:p>
        </w:tc>
        <w:tc>
          <w:tcPr>
            <w:tcW w:w="6438" w:type="dxa"/>
          </w:tcPr>
          <w:p w14:paraId="722B32E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[ENV_CP]</w:t>
            </w:r>
          </w:p>
        </w:tc>
      </w:tr>
    </w:tbl>
    <w:p w14:paraId="06E7DD58" w14:textId="77777777" w:rsidR="00533532" w:rsidRPr="00C371C9" w:rsidRDefault="00533532" w:rsidP="00C371C9">
      <w:pPr>
        <w:rPr>
          <w:rFonts w:ascii="Times New Roman" w:hAnsi="Times New Roman" w:cs="Times New Roman"/>
        </w:rPr>
      </w:pPr>
    </w:p>
    <w:p w14:paraId="3189147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Exames e Resultado</w:t>
      </w:r>
    </w:p>
    <w:tbl>
      <w:tblPr>
        <w:tblStyle w:val="TabeladeGrade4-nfase1"/>
        <w:tblW w:w="9638" w:type="dxa"/>
        <w:tblLook w:val="04A0" w:firstRow="1" w:lastRow="0" w:firstColumn="1" w:lastColumn="0" w:noHBand="0" w:noVBand="1"/>
      </w:tblPr>
      <w:tblGrid>
        <w:gridCol w:w="2830"/>
        <w:gridCol w:w="6808"/>
      </w:tblGrid>
      <w:tr w:rsidR="00533532" w:rsidRPr="00C371C9" w14:paraId="108B790C"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2E211A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ITEM</w:t>
            </w:r>
          </w:p>
        </w:tc>
        <w:tc>
          <w:tcPr>
            <w:tcW w:w="6808" w:type="dxa"/>
          </w:tcPr>
          <w:p w14:paraId="65CD503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013AAE8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1AF68C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apreendido</w:t>
            </w:r>
          </w:p>
        </w:tc>
        <w:tc>
          <w:tcPr>
            <w:tcW w:w="6808" w:type="dxa"/>
          </w:tcPr>
          <w:p w14:paraId="51533C3C" w14:textId="132BE8DA" w:rsidR="00533532" w:rsidRPr="00A01AC6" w:rsidRDefault="00A01AC6"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vertAlign w:val="subscript"/>
              </w:rPr>
            </w:pPr>
            <w:r>
              <w:rPr>
                <w:rFonts w:ascii="Times New Roman" w:hAnsi="Times New Roman" w:cs="Times New Roman"/>
                <w:sz w:val="20"/>
                <w:szCs w:val="20"/>
              </w:rPr>
              <w:t>Sólido branco (item b.)</w:t>
            </w:r>
          </w:p>
        </w:tc>
      </w:tr>
      <w:tr w:rsidR="00A01AC6" w:rsidRPr="000C3687" w14:paraId="0DBC3EA7" w14:textId="77777777" w:rsidTr="00397A29">
        <w:tc>
          <w:tcPr>
            <w:cnfStyle w:val="001000000000" w:firstRow="0" w:lastRow="0" w:firstColumn="1" w:lastColumn="0" w:oddVBand="0" w:evenVBand="0" w:oddHBand="0" w:evenHBand="0" w:firstRowFirstColumn="0" w:firstRowLastColumn="0" w:lastRowFirstColumn="0" w:lastRowLastColumn="0"/>
            <w:tcW w:w="2830" w:type="dxa"/>
          </w:tcPr>
          <w:p w14:paraId="43454322" w14:textId="77777777" w:rsidR="00A01AC6" w:rsidRPr="00C371C9" w:rsidRDefault="00A01AC6" w:rsidP="00A01AC6">
            <w:pPr>
              <w:spacing w:before="40" w:after="40"/>
              <w:rPr>
                <w:rFonts w:ascii="Times New Roman" w:hAnsi="Times New Roman" w:cs="Times New Roman"/>
                <w:sz w:val="20"/>
                <w:szCs w:val="20"/>
              </w:rPr>
            </w:pPr>
            <w:r>
              <w:rPr>
                <w:rFonts w:ascii="Times New Roman" w:hAnsi="Times New Roman" w:cs="Times New Roman"/>
                <w:sz w:val="20"/>
                <w:szCs w:val="20"/>
              </w:rPr>
              <w:t>Metodologia</w:t>
            </w:r>
          </w:p>
        </w:tc>
        <w:tc>
          <w:tcPr>
            <w:tcW w:w="6808" w:type="dxa"/>
          </w:tcPr>
          <w:p w14:paraId="532D5900" w14:textId="16909F08" w:rsidR="00A01AC6" w:rsidRPr="000C3687" w:rsidRDefault="00A01AC6" w:rsidP="00A01AC6">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 xml:space="preserve">Scott </w:t>
            </w:r>
            <w:proofErr w:type="spellStart"/>
            <w:r>
              <w:rPr>
                <w:rFonts w:ascii="Times New Roman" w:hAnsi="Times New Roman" w:cs="Times New Roman"/>
                <w:sz w:val="20"/>
                <w:szCs w:val="20"/>
                <w:lang w:val="en-US"/>
              </w:rPr>
              <w:t>Modificado</w:t>
            </w:r>
            <w:proofErr w:type="spellEnd"/>
            <w:r>
              <w:rPr>
                <w:rFonts w:ascii="Times New Roman" w:hAnsi="Times New Roman" w:cs="Times New Roman"/>
                <w:sz w:val="20"/>
                <w:szCs w:val="20"/>
                <w:lang w:val="en-US"/>
              </w:rPr>
              <w:t xml:space="preserve"> (Cat. C/SWGDRUG) + FTIR-ATR (Cat. A/SWGDRUG)</w:t>
            </w:r>
          </w:p>
        </w:tc>
      </w:tr>
      <w:tr w:rsidR="00A01AC6" w:rsidRPr="00C371C9" w14:paraId="66EC127A"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1A3EA4C" w14:textId="31016B6B" w:rsidR="00A01AC6" w:rsidRDefault="00A01AC6" w:rsidP="00A01AC6">
            <w:pPr>
              <w:spacing w:before="40" w:after="40"/>
              <w:rPr>
                <w:rFonts w:ascii="Times New Roman" w:hAnsi="Times New Roman" w:cs="Times New Roman"/>
                <w:b w:val="0"/>
                <w:bCs w:val="0"/>
                <w:sz w:val="20"/>
                <w:szCs w:val="20"/>
              </w:rPr>
            </w:pPr>
            <w:r>
              <w:rPr>
                <w:rFonts w:ascii="Times New Roman" w:hAnsi="Times New Roman" w:cs="Times New Roman"/>
                <w:sz w:val="20"/>
                <w:szCs w:val="20"/>
              </w:rPr>
              <w:t>Natureza química — item b.</w:t>
            </w:r>
          </w:p>
        </w:tc>
        <w:tc>
          <w:tcPr>
            <w:tcW w:w="6808" w:type="dxa"/>
          </w:tcPr>
          <w:p w14:paraId="086006A8" w14:textId="1E82AC35" w:rsidR="00A01AC6" w:rsidRDefault="00A01AC6" w:rsidP="00A01AC6">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Cloridrato De Cocaína — </w:t>
            </w:r>
            <w:r>
              <w:rPr>
                <w:rFonts w:ascii="Times New Roman" w:hAnsi="Times New Roman" w:cs="Times New Roman"/>
                <w:b/>
                <w:sz w:val="20"/>
                <w:szCs w:val="20"/>
              </w:rPr>
              <w:t>DETECTADA</w:t>
            </w:r>
          </w:p>
        </w:tc>
      </w:tr>
      <w:tr w:rsidR="00A01AC6" w:rsidRPr="00C371C9" w14:paraId="5491899D" w14:textId="77777777" w:rsidTr="00397A29">
        <w:tc>
          <w:tcPr>
            <w:cnfStyle w:val="001000000000" w:firstRow="0" w:lastRow="0" w:firstColumn="1" w:lastColumn="0" w:oddVBand="0" w:evenVBand="0" w:oddHBand="0" w:evenHBand="0" w:firstRowFirstColumn="0" w:firstRowLastColumn="0" w:lastRowFirstColumn="0" w:lastRowLastColumn="0"/>
            <w:tcW w:w="2830" w:type="dxa"/>
          </w:tcPr>
          <w:p w14:paraId="00D8949D" w14:textId="77777777" w:rsidR="00A01AC6" w:rsidRPr="00C371C9" w:rsidRDefault="00A01AC6" w:rsidP="00A01AC6">
            <w:pPr>
              <w:spacing w:before="40" w:after="40"/>
              <w:rPr>
                <w:rFonts w:ascii="Times New Roman" w:hAnsi="Times New Roman" w:cs="Times New Roman"/>
                <w:sz w:val="20"/>
                <w:szCs w:val="20"/>
              </w:rPr>
            </w:pPr>
            <w:r>
              <w:rPr>
                <w:rFonts w:ascii="Times New Roman" w:hAnsi="Times New Roman" w:cs="Times New Roman"/>
                <w:sz w:val="20"/>
                <w:szCs w:val="20"/>
              </w:rPr>
              <w:t>Data de conclusão</w:t>
            </w:r>
          </w:p>
        </w:tc>
        <w:tc>
          <w:tcPr>
            <w:tcW w:w="6808" w:type="dxa"/>
          </w:tcPr>
          <w:p w14:paraId="0FCA0795" w14:textId="77777777" w:rsidR="00A01AC6" w:rsidRPr="00C371C9" w:rsidRDefault="00A01AC6" w:rsidP="00A01AC6">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[DATA_CONCLUSÃO]</w:t>
            </w:r>
          </w:p>
        </w:tc>
      </w:tr>
    </w:tbl>
    <w:p w14:paraId="6E593100" w14:textId="77777777" w:rsidR="00533532" w:rsidRPr="00C371C9" w:rsidRDefault="00533532" w:rsidP="00C371C9">
      <w:pPr>
        <w:rPr>
          <w:rFonts w:ascii="Times New Roman" w:hAnsi="Times New Roman" w:cs="Times New Roman"/>
        </w:rPr>
      </w:pPr>
    </w:p>
    <w:p w14:paraId="6EB9B0CD" w14:textId="22AE1D95" w:rsidR="00533532" w:rsidRPr="00C371C9" w:rsidRDefault="004A4051" w:rsidP="00C371C9">
      <w:pPr>
        <w:pStyle w:val="Ttulo1"/>
        <w:rPr>
          <w:rFonts w:ascii="Times New Roman" w:hAnsi="Times New Roman" w:cs="Times New Roman"/>
        </w:rPr>
      </w:pPr>
      <w:r>
        <w:rPr>
          <w:rFonts w:ascii="Times New Roman" w:hAnsi="Times New Roman" w:cs="Times New Roman"/>
        </w:rPr>
        <w:t>6.   REFERÊNCIAS BIBLIOGRÁFICAS</w:t>
      </w:r>
    </w:p>
    <w:p w14:paraId="7A994120" w14:textId="4AAFA384" w:rsidR="00B043CE" w:rsidRPr="00C371C9" w:rsidRDefault="00B043CE"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eastAsia="Times New Roman" w:hAnsi="Times New Roman" w:cs="Times New Roman"/>
          <w:sz w:val="16"/>
          <w:szCs w:val="16"/>
          <w:lang w:val="en-US"/>
        </w:rPr>
        <w:t xml:space="preserve">BORDIN, D. C. M. et al. </w:t>
      </w:r>
      <w:r>
        <w:rPr>
          <w:rFonts w:ascii="Times New Roman" w:eastAsia="Times New Roman" w:hAnsi="Times New Roman" w:cs="Times New Roman"/>
          <w:sz w:val="16"/>
          <w:szCs w:val="16"/>
        </w:rPr>
        <w:t xml:space="preserve">Análise forense: pesquisa de drogas vegetais interferentes de testes colorimétricos para identificação dos </w:t>
      </w:r>
      <w:proofErr w:type="spellStart"/>
      <w:r>
        <w:rPr>
          <w:rFonts w:ascii="Times New Roman" w:eastAsia="Times New Roman" w:hAnsi="Times New Roman" w:cs="Times New Roman"/>
          <w:sz w:val="16"/>
          <w:szCs w:val="16"/>
        </w:rPr>
        <w:t>canabinoides</w:t>
      </w:r>
      <w:proofErr w:type="spellEnd"/>
      <w:r>
        <w:rPr>
          <w:rFonts w:ascii="Times New Roman" w:eastAsia="Times New Roman" w:hAnsi="Times New Roman" w:cs="Times New Roman"/>
          <w:sz w:val="16"/>
          <w:szCs w:val="16"/>
        </w:rPr>
        <w:t xml:space="preserve"> da maconha (Cannabis sativa L.). Química Nova, São Paulo, v. 35, n. 10, p. 2040–2043, 2012.</w:t>
      </w:r>
    </w:p>
    <w:p w14:paraId="64C0A6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BOTELHO, E. D. et al. </w:t>
      </w:r>
      <w:r>
        <w:rPr>
          <w:rFonts w:ascii="Times New Roman" w:hAnsi="Times New Roman" w:cs="Times New Roman"/>
          <w:sz w:val="16"/>
          <w:szCs w:val="16"/>
          <w:lang w:val="en-US"/>
        </w:rPr>
        <w:t>Chemical profiling of cocaine seized by Brazilian Federal Police in 2009–2012: major components. Journal of the Brazilian Chemical Society, v. 25, n. 4, p. 611–618, 2014.</w:t>
      </w:r>
    </w:p>
    <w:p w14:paraId="4DC34A3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Ministério da Saúde. Portaria SVS/MS nº 344, de 12 de maio de 1998. Regulamento Técnico sobre substâncias e medicamentos sujeitos a controle especial. Diário Oficial da União, Brasília, DF, 19 maio 1998 (e atualizações posteriores da ANVISA).</w:t>
      </w:r>
    </w:p>
    <w:p w14:paraId="580300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11.343, de 23 de agosto de 2006. Institui o Sistema Nacional de Políticas Públicas sobre Drogas (SISNAD). Diário Oficial da União, Brasília, DF, 24 ago. 2006.</w:t>
      </w:r>
    </w:p>
    <w:p w14:paraId="063C533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13.964, de 24 de dezembro de 2019 (Pacote Anticrime). Art. 158-A a 158-F do CPP — Cadeia de Custódia da Prova. Diário Oficial da União, Brasília, DF, 24 dez. 2019.</w:t>
      </w:r>
    </w:p>
    <w:p w14:paraId="535060CE"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BRUKER OPTICS. Alpha II FTIR Spectrometer: technical manual. [</w:t>
      </w:r>
      <w:proofErr w:type="spellStart"/>
      <w:r>
        <w:rPr>
          <w:rFonts w:ascii="Times New Roman" w:hAnsi="Times New Roman" w:cs="Times New Roman"/>
          <w:sz w:val="16"/>
          <w:szCs w:val="16"/>
          <w:lang w:val="en-US"/>
        </w:rPr>
        <w:t>S.l.</w:t>
      </w:r>
      <w:proofErr w:type="spellEnd"/>
      <w:r>
        <w:rPr>
          <w:rFonts w:ascii="Times New Roman" w:hAnsi="Times New Roman" w:cs="Times New Roman"/>
          <w:sz w:val="16"/>
          <w:szCs w:val="16"/>
          <w:lang w:val="en-US"/>
        </w:rPr>
        <w:t>]: Bruker, 2020.</w:t>
      </w:r>
    </w:p>
    <w:p w14:paraId="4D9EAF2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CASALE, J. F. et al. Four new illicit cocaine impurities from the oxidation of crude cocaine base: formation and characterization of the diastereomeric 2,3-dihydroxy-3-phenylpropionylecgonine methyl esters from cis- and trans-</w:t>
      </w:r>
      <w:proofErr w:type="spellStart"/>
      <w:r>
        <w:rPr>
          <w:rFonts w:ascii="Times New Roman" w:hAnsi="Times New Roman" w:cs="Times New Roman"/>
          <w:sz w:val="16"/>
          <w:szCs w:val="16"/>
          <w:lang w:val="en-US"/>
        </w:rPr>
        <w:t>cinnamoylcocaine</w:t>
      </w:r>
      <w:proofErr w:type="spellEnd"/>
      <w:r>
        <w:rPr>
          <w:rFonts w:ascii="Times New Roman" w:hAnsi="Times New Roman" w:cs="Times New Roman"/>
          <w:sz w:val="16"/>
          <w:szCs w:val="16"/>
          <w:lang w:val="en-US"/>
        </w:rPr>
        <w:t>. Journal of Forensic Science, v. 52, n. 4, p. 860–866, 2007.</w:t>
      </w:r>
    </w:p>
    <w:p w14:paraId="5BB24FB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CONCEIÇÃO, V. N. et al. Estudo do teste de Scott via técnicas espectroscópicas: um método alternativo para diferenciar cloridrato de cocaína e seus adulterantes. Química Nova, v. 37, n. 9, p. 1538–1544, 2014.</w:t>
      </w:r>
    </w:p>
    <w:p w14:paraId="62A93CE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FUKUSHIMA, A. R. Perfil da cocaína comercializada como crack na região Metropolitana de São Paulo em período de vinte meses (2008–2009). 2010. Dissertação (Mestrado) — Faculdade de Ciências Farmacêuticas, USP, São Paulo, 2010.</w:t>
      </w:r>
    </w:p>
    <w:p w14:paraId="11925BD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INTERNATIONAL ORGANIZATION FOR STANDARDIZATION. ISO/IEC 17025:2017 — General requirements for the competence of testing and calibration laboratories. </w:t>
      </w:r>
      <w:r>
        <w:rPr>
          <w:rFonts w:ascii="Times New Roman" w:hAnsi="Times New Roman" w:cs="Times New Roman"/>
          <w:sz w:val="16"/>
          <w:szCs w:val="16"/>
        </w:rPr>
        <w:t>Geneva: ISO, 2017.</w:t>
      </w:r>
    </w:p>
    <w:p w14:paraId="36D8F1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3BBAC119"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 xml:space="preserve">MALDANER, A. O. et al. Brazilian Federal Police drug chemical profiling — The </w:t>
      </w:r>
      <w:proofErr w:type="spellStart"/>
      <w:r>
        <w:rPr>
          <w:rFonts w:ascii="Times New Roman" w:hAnsi="Times New Roman" w:cs="Times New Roman"/>
          <w:sz w:val="16"/>
          <w:szCs w:val="16"/>
          <w:lang w:val="en-US"/>
        </w:rPr>
        <w:t>PeQui</w:t>
      </w:r>
      <w:proofErr w:type="spellEnd"/>
      <w:r>
        <w:rPr>
          <w:rFonts w:ascii="Times New Roman" w:hAnsi="Times New Roman" w:cs="Times New Roman"/>
          <w:sz w:val="16"/>
          <w:szCs w:val="16"/>
          <w:lang w:val="en-US"/>
        </w:rPr>
        <w:t xml:space="preserve"> Project. Science and Justice, v. 54, p. 300–306, 2014.</w:t>
      </w:r>
    </w:p>
    <w:p w14:paraId="068EAF7B"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MOFFAT, A. C. (ed.). Clarke's analysis of drugs and poisons. 4. ed. London: Pharmaceutical Press, 2011.</w:t>
      </w:r>
    </w:p>
    <w:p w14:paraId="2AEEBB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RODRIGUES, N. V. S. et al. </w:t>
      </w:r>
      <w:r>
        <w:rPr>
          <w:rFonts w:ascii="Times New Roman" w:hAnsi="Times New Roman" w:cs="Times New Roman"/>
          <w:sz w:val="16"/>
          <w:szCs w:val="16"/>
          <w:lang w:val="en-US"/>
        </w:rPr>
        <w:t>Analysis of seized cocaine samples by using chemometric methods and FTIR spectroscopy. Journal of the Brazilian Chemical Society, v. 24, n. 3, p. 507–517, 2013.</w:t>
      </w:r>
    </w:p>
    <w:p w14:paraId="239D0C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SCIENTIFIC WORKING GROUP FOR THE ANALYSIS OF SEIZED DRUGS (SWGDRUG). </w:t>
      </w:r>
      <w:proofErr w:type="spellStart"/>
      <w:r>
        <w:rPr>
          <w:rFonts w:ascii="Times New Roman" w:hAnsi="Times New Roman" w:cs="Times New Roman"/>
          <w:sz w:val="16"/>
          <w:szCs w:val="16"/>
        </w:rPr>
        <w:t>Recommendations</w:t>
      </w:r>
      <w:proofErr w:type="spellEnd"/>
      <w:r>
        <w:rPr>
          <w:rFonts w:ascii="Times New Roman" w:hAnsi="Times New Roman" w:cs="Times New Roman"/>
          <w:sz w:val="16"/>
          <w:szCs w:val="16"/>
        </w:rPr>
        <w:t>. Rev. 8.1. [</w:t>
      </w:r>
      <w:proofErr w:type="spellStart"/>
      <w:r>
        <w:rPr>
          <w:rFonts w:ascii="Times New Roman" w:hAnsi="Times New Roman" w:cs="Times New Roman"/>
          <w:sz w:val="16"/>
          <w:szCs w:val="16"/>
        </w:rPr>
        <w:t>S.l</w:t>
      </w:r>
      <w:proofErr w:type="spellEnd"/>
      <w:r>
        <w:rPr>
          <w:rFonts w:ascii="Times New Roman" w:hAnsi="Times New Roman" w:cs="Times New Roman"/>
          <w:sz w:val="16"/>
          <w:szCs w:val="16"/>
        </w:rPr>
        <w:t>.]: SWGDRUG, 2022. Disponível em: https://www.swgdrug.org. Acesso em: maio 2026.</w:t>
      </w:r>
    </w:p>
    <w:p w14:paraId="5AF837C5"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SECRETARIA NACIONAL DE SEGURANÇA PÚBLICA (SENASP). Procedimento Operacional Padrão nº 9.09: Identificação de Substâncias por FTIR. </w:t>
      </w:r>
      <w:r>
        <w:rPr>
          <w:rFonts w:ascii="Times New Roman" w:hAnsi="Times New Roman" w:cs="Times New Roman"/>
          <w:sz w:val="16"/>
          <w:szCs w:val="16"/>
          <w:lang w:val="en-US"/>
        </w:rPr>
        <w:t>Brasília: MJSP, 2024.</w:t>
      </w:r>
    </w:p>
    <w:p w14:paraId="7F806EA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SMITH, B. C. Infrared spectral interpretation: a systematic approach. </w:t>
      </w:r>
      <w:r>
        <w:rPr>
          <w:rFonts w:ascii="Times New Roman" w:hAnsi="Times New Roman" w:cs="Times New Roman"/>
          <w:sz w:val="16"/>
          <w:szCs w:val="16"/>
        </w:rPr>
        <w:t xml:space="preserve">Boca </w:t>
      </w:r>
      <w:proofErr w:type="spellStart"/>
      <w:r>
        <w:rPr>
          <w:rFonts w:ascii="Times New Roman" w:hAnsi="Times New Roman" w:cs="Times New Roman"/>
          <w:sz w:val="16"/>
          <w:szCs w:val="16"/>
        </w:rPr>
        <w:t>Raton</w:t>
      </w:r>
      <w:proofErr w:type="spellEnd"/>
      <w:r>
        <w:rPr>
          <w:rFonts w:ascii="Times New Roman" w:hAnsi="Times New Roman" w:cs="Times New Roman"/>
          <w:sz w:val="16"/>
          <w:szCs w:val="16"/>
        </w:rPr>
        <w:t>: CRC Press, 1999.</w:t>
      </w:r>
    </w:p>
    <w:p w14:paraId="7D2136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SOLOMONS, T. W. G.; FRYHLE, C. B. Química orgânica. 10. ed. Rio de Janeiro: LTC, 2012. v. 2. </w:t>
      </w:r>
      <w:r>
        <w:rPr>
          <w:rFonts w:ascii="Times New Roman" w:hAnsi="Times New Roman" w:cs="Times New Roman"/>
          <w:sz w:val="16"/>
          <w:szCs w:val="16"/>
          <w:lang w:val="en-US"/>
        </w:rPr>
        <w:t xml:space="preserve">(Cap. 20 — </w:t>
      </w:r>
      <w:proofErr w:type="spellStart"/>
      <w:r>
        <w:rPr>
          <w:rFonts w:ascii="Times New Roman" w:hAnsi="Times New Roman" w:cs="Times New Roman"/>
          <w:sz w:val="16"/>
          <w:szCs w:val="16"/>
          <w:lang w:val="en-US"/>
        </w:rPr>
        <w:t>Aminas</w:t>
      </w:r>
      <w:proofErr w:type="spellEnd"/>
      <w:r>
        <w:rPr>
          <w:rFonts w:ascii="Times New Roman" w:hAnsi="Times New Roman" w:cs="Times New Roman"/>
          <w:sz w:val="16"/>
          <w:szCs w:val="16"/>
          <w:lang w:val="en-US"/>
        </w:rPr>
        <w:t>.)</w:t>
      </w:r>
    </w:p>
    <w:p w14:paraId="7E35FF01"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UNITED NATIONS OFFICE ON DRUGS AND CRIME (UNODC). Recommended methods for the identification and analysis of cocaine in seized materials. New York: United Nations, 2012. (ST/NAR/39.)</w:t>
      </w:r>
    </w:p>
    <w:p w14:paraId="3810459E" w14:textId="77777777" w:rsidR="003D599E"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VASCONCELOS, F. R. P. de. Procedimento Operacional Padrão POP-QF-PHB-002: identificação analítica de substâncias entorpecentes por ensaios colorimétricos, análise botânica e FTIR-ATR. Parnaíba: NRPC/PHB / DEPOC / PCPI, 2026.</w:t>
      </w:r>
    </w:p>
    <w:p w14:paraId="65785534" w14:textId="77777777" w:rsidR="003D599E" w:rsidRPr="00C371C9" w:rsidRDefault="003D599E" w:rsidP="00C371C9">
      <w:pPr>
        <w:pStyle w:val="PargrafodaLista"/>
        <w:spacing w:before="40" w:after="60"/>
        <w:ind w:left="567"/>
        <w:jc w:val="both"/>
        <w:rPr>
          <w:rFonts w:ascii="Times New Roman" w:hAnsi="Times New Roman" w:cs="Times New Roman"/>
          <w:sz w:val="24"/>
          <w:szCs w:val="24"/>
        </w:rPr>
      </w:pPr>
    </w:p>
    <w:p w14:paraId="4E67E1DC" w14:textId="563380B3" w:rsidR="00533532" w:rsidRPr="00C371C9" w:rsidRDefault="004A4051" w:rsidP="00C371C9">
      <w:pPr>
        <w:spacing w:before="40" w:after="60"/>
        <w:jc w:val="both"/>
        <w:rPr>
          <w:rFonts w:ascii="Times New Roman" w:hAnsi="Times New Roman" w:cs="Times New Roman"/>
          <w:sz w:val="24"/>
          <w:szCs w:val="24"/>
        </w:rPr>
      </w:pPr>
      <w:r>
        <w:rPr>
          <w:rFonts w:ascii="Times New Roman" w:hAnsi="Times New Roman" w:cs="Times New Roman"/>
          <w:sz w:val="24"/>
          <w:szCs w:val="24"/>
        </w:rPr>
        <w:t xml:space="preserve">Nada mais havendo a acrescentar, deu-se por findo, em </w:t>
      </w:r>
      <w:r>
        <w:rPr>
          <w:rFonts w:ascii="Times New Roman" w:hAnsi="Times New Roman" w:cs="Times New Roman"/>
          <w:b/>
          <w:bCs/>
          <w:sz w:val="24"/>
          <w:szCs w:val="24"/>
        </w:rPr>
        <w:t>[DATA_CONCLUSÃO]</w:t>
      </w:r>
      <w:r>
        <w:rPr>
          <w:rFonts w:ascii="Times New Roman" w:hAnsi="Times New Roman" w:cs="Times New Roman"/>
          <w:sz w:val="24"/>
          <w:szCs w:val="24"/>
        </w:rPr>
        <w:t xml:space="preserve">, o presente laudo de exame pericial que, redigido em </w:t>
      </w:r>
      <w:r w:rsidR="00DE1102">
        <w:rPr>
          <w:rFonts w:ascii="Times New Roman" w:hAnsi="Times New Roman" w:cs="Times New Roman"/>
          <w:b/>
          <w:bCs/>
          <w:sz w:val="24"/>
          <w:szCs w:val="24"/>
        </w:rPr>
        <w:t>[TOTAL]</w:t>
      </w:r>
      <w:r>
        <w:rPr>
          <w:rFonts w:ascii="Times New Roman" w:hAnsi="Times New Roman" w:cs="Times New Roman"/>
          <w:sz w:val="24"/>
          <w:szCs w:val="24"/>
        </w:rPr>
        <w:t xml:space="preserve"> página(s), segue assinado pelo seu relator.</w:t>
      </w:r>
    </w:p>
    <w:p w14:paraId="6A19A2A3" w14:textId="77777777" w:rsidR="00533532" w:rsidRPr="00C371C9" w:rsidRDefault="00533532" w:rsidP="00C371C9">
      <w:pPr>
        <w:jc w:val="both"/>
        <w:rPr>
          <w:rFonts w:ascii="Times New Roman" w:hAnsi="Times New Roman" w:cs="Times New Roman"/>
          <w:sz w:val="24"/>
          <w:szCs w:val="24"/>
        </w:rPr>
      </w:pPr>
    </w:p>
    <w:p w14:paraId="748127B9" w14:textId="77777777" w:rsidR="00533532" w:rsidRPr="007027B5" w:rsidRDefault="004A4051" w:rsidP="00C371C9">
      <w:pPr>
        <w:spacing w:after="40"/>
        <w:jc w:val="center"/>
        <w:rPr>
          <w:rFonts w:ascii="Times New Roman" w:hAnsi="Times New Roman" w:cs="Times New Roman"/>
          <w:i/>
          <w:sz w:val="16"/>
          <w:szCs w:val="16"/>
        </w:rPr>
      </w:pPr>
      <w:r>
        <w:rPr>
          <w:rFonts w:ascii="Times New Roman" w:hAnsi="Times New Roman" w:cs="Times New Roman"/>
          <w:i/>
          <w:sz w:val="16"/>
          <w:szCs w:val="16"/>
        </w:rPr>
        <w:t>DOCUMENTO ASSINADO DIGITALMENTE</w:t>
      </w:r>
    </w:p>
    <w:p w14:paraId="19DDD341" w14:textId="77777777" w:rsidR="00533532" w:rsidRPr="00C371C9" w:rsidRDefault="004A4051" w:rsidP="00C371C9">
      <w:pPr>
        <w:spacing w:after="20"/>
        <w:jc w:val="center"/>
        <w:rPr>
          <w:rFonts w:ascii="Times New Roman" w:hAnsi="Times New Roman" w:cs="Times New Roman"/>
          <w:sz w:val="24"/>
          <w:szCs w:val="24"/>
        </w:rPr>
      </w:pPr>
      <w:r>
        <w:rPr>
          <w:rFonts w:ascii="Times New Roman" w:hAnsi="Times New Roman" w:cs="Times New Roman"/>
          <w:b/>
          <w:bCs/>
          <w:sz w:val="24"/>
          <w:szCs w:val="24"/>
        </w:rPr>
        <w:t>FAUSTO RODRIGO PINTO DE VASCONCELOS</w:t>
      </w:r>
    </w:p>
    <w:p w14:paraId="6DFE1F94"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b/>
          <w:bCs/>
          <w:sz w:val="20"/>
          <w:szCs w:val="20"/>
        </w:rPr>
        <w:t>PERITO CRIMINAL — Mat. 218915-1</w:t>
      </w:r>
    </w:p>
    <w:p w14:paraId="490E6F18"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sz w:val="20"/>
          <w:szCs w:val="20"/>
        </w:rPr>
        <w:t>Setor de Química Forense — LAB-NRPC/PHB</w:t>
      </w:r>
    </w:p>
    <w:p w14:paraId="37BFC011" w14:textId="77777777" w:rsidR="00533532" w:rsidRPr="00C371C9" w:rsidRDefault="00533532" w:rsidP="00C371C9">
      <w:pPr>
        <w:rPr>
          <w:rFonts w:ascii="Times New Roman" w:hAnsi="Times New Roman" w:cs="Times New Roman"/>
        </w:rPr>
      </w:pPr>
    </w:p>
    <w:sectPr w:rsidR="00533532" w:rsidRPr="00C371C9" w:rsidSect="00F07CCF">
      <w:headerReference w:type="default" r:id="rId12"/>
      <w:headerReference w:type="first" r:id="rId13"/>
      <w:footerReference w:type="first" r:id="rId14"/>
      <w:pgSz w:w="11906" w:h="16838"/>
      <w:pgMar w:top="426" w:right="1134" w:bottom="426" w:left="1134" w:header="427" w:footer="12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EB2B80" w14:textId="77777777" w:rsidR="007D2A64" w:rsidRDefault="007D2A64">
      <w:r>
        <w:separator/>
      </w:r>
    </w:p>
  </w:endnote>
  <w:endnote w:type="continuationSeparator" w:id="0">
    <w:p w14:paraId="299605B5" w14:textId="77777777" w:rsidR="007D2A64" w:rsidRDefault="007D2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678AA" w14:textId="1BF0CF1B" w:rsidR="008E04B3" w:rsidRDefault="008E04B3">
    <w:pPr>
      <w:pStyle w:val="Rodap"/>
    </w:pPr>
    <w:r>
      <w:rPr>
        <w:noProof/>
      </w:rPr>
      <w:drawing>
        <wp:anchor distT="0" distB="0" distL="114300" distR="114300" simplePos="0" relativeHeight="251664384" behindDoc="0" locked="0" layoutInCell="1" allowOverlap="1" wp14:anchorId="0045EE64" wp14:editId="17B903F6">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06C009" w14:textId="77777777" w:rsidR="007D2A64" w:rsidRDefault="007D2A64">
      <w:r>
        <w:separator/>
      </w:r>
    </w:p>
  </w:footnote>
  <w:footnote w:type="continuationSeparator" w:id="0">
    <w:p w14:paraId="0AF3D8FC" w14:textId="77777777" w:rsidR="007D2A64" w:rsidRDefault="007D2A64">
      <w:r>
        <w:continuationSeparator/>
      </w:r>
    </w:p>
  </w:footnote>
  <w:footnote w:id="1">
    <w:p w14:paraId="20FBD5BF" w14:textId="0EB06E04" w:rsidR="008E04B3" w:rsidRPr="00B674A3" w:rsidRDefault="008E04B3" w:rsidP="00B674A3">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B674A3">
        <w:rPr>
          <w:rFonts w:ascii="Times New Roman" w:hAnsi="Times New Roman" w:cs="Times New Roman"/>
          <w:sz w:val="16"/>
          <w:szCs w:val="16"/>
        </w:rPr>
        <w:t>CONFORMIDADE SWGDRUG: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5C8546D9" w14:textId="1DD3BBB8" w:rsidR="008E04B3" w:rsidRPr="00DE1102" w:rsidRDefault="008E04B3" w:rsidP="007A6772">
      <w:pPr>
        <w:jc w:val="both"/>
        <w:rPr>
          <w:rFonts w:ascii="Times New Roman" w:hAnsi="Times New Roman" w:cs="Times New Roman"/>
          <w:sz w:val="16"/>
          <w:szCs w:val="16"/>
          <w:lang w:val="en-US"/>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rPr>
        <w:t xml:space="preserve">INTERFERÊNCIA POR ADULTERANTES — TESTE DE SCOTT: O ensaio de Scott pode apresentar resultado presuntivo positivo na presença de adulterantes anestésicos locais (lidocaína, procaína, </w:t>
      </w:r>
      <w:proofErr w:type="spellStart"/>
      <w:r w:rsidRPr="007A6772">
        <w:rPr>
          <w:rFonts w:ascii="Times New Roman" w:hAnsi="Times New Roman" w:cs="Times New Roman"/>
          <w:sz w:val="16"/>
          <w:szCs w:val="16"/>
        </w:rPr>
        <w:t>benzocaína</w:t>
      </w:r>
      <w:proofErr w:type="spellEnd"/>
      <w:r w:rsidRPr="007A6772">
        <w:rPr>
          <w:rFonts w:ascii="Times New Roman" w:hAnsi="Times New Roman" w:cs="Times New Roman"/>
          <w:sz w:val="16"/>
          <w:szCs w:val="16"/>
        </w:rPr>
        <w:t>) em concentração elevada. Esta ambiguidade é integralmente resolvida pelo FTIR-ATR confirmatório (Cat. A/SWGDRUG), cujos espectros de cocaína e anestésicos locais são inconfundíveis por apresentarem bandas diagnósticas distintas (lidocaína: amida secundária ν C=O ~1665 cm⁻¹; fenacetina: ν C=</w:t>
      </w:r>
      <w:proofErr w:type="gramStart"/>
      <w:r w:rsidRPr="007A6772">
        <w:rPr>
          <w:rFonts w:ascii="Times New Roman" w:hAnsi="Times New Roman" w:cs="Times New Roman"/>
          <w:sz w:val="16"/>
          <w:szCs w:val="16"/>
        </w:rPr>
        <w:t>O</w:t>
      </w:r>
      <w:r>
        <w:rPr>
          <w:rFonts w:ascii="Times New Roman" w:hAnsi="Times New Roman" w:cs="Times New Roman"/>
          <w:sz w:val="16"/>
          <w:szCs w:val="16"/>
        </w:rPr>
        <w:t xml:space="preserve"> </w:t>
      </w:r>
      <w:r w:rsidRPr="007A6772">
        <w:rPr>
          <w:rFonts w:ascii="Times New Roman" w:hAnsi="Times New Roman" w:cs="Times New Roman"/>
          <w:sz w:val="16"/>
          <w:szCs w:val="16"/>
        </w:rPr>
        <w:t>amida</w:t>
      </w:r>
      <w:proofErr w:type="gramEnd"/>
      <w:r w:rsidRPr="007A6772">
        <w:rPr>
          <w:rFonts w:ascii="Times New Roman" w:hAnsi="Times New Roman" w:cs="Times New Roman"/>
          <w:sz w:val="16"/>
          <w:szCs w:val="16"/>
        </w:rPr>
        <w:t xml:space="preserve"> ~1660 cm⁻¹; cafeína: ν C=O </w:t>
      </w:r>
      <w:proofErr w:type="spellStart"/>
      <w:r w:rsidRPr="007A6772">
        <w:rPr>
          <w:rFonts w:ascii="Times New Roman" w:hAnsi="Times New Roman" w:cs="Times New Roman"/>
          <w:sz w:val="16"/>
          <w:szCs w:val="16"/>
        </w:rPr>
        <w:t>imídico</w:t>
      </w:r>
      <w:proofErr w:type="spellEnd"/>
      <w:r w:rsidRPr="007A6772">
        <w:rPr>
          <w:rFonts w:ascii="Times New Roman" w:hAnsi="Times New Roman" w:cs="Times New Roman"/>
          <w:sz w:val="16"/>
          <w:szCs w:val="16"/>
        </w:rPr>
        <w:t xml:space="preserve"> ~1700/1660 cm⁻¹), afastando qualquer hipótese de falso-positivo colorimétrico. Ref.: Conceição, V.N. et al. Química Nova, v. 37, n. 9, p. 1538–1544, 2014; Rodrigues, N.V.S. et al. J. Braz. </w:t>
      </w:r>
      <w:r w:rsidRPr="00DE1102">
        <w:rPr>
          <w:rFonts w:ascii="Times New Roman" w:hAnsi="Times New Roman" w:cs="Times New Roman"/>
          <w:sz w:val="16"/>
          <w:szCs w:val="16"/>
          <w:lang w:val="en-US"/>
        </w:rPr>
        <w:t>Chem. Soc., v. 24, n. 3, p. 507–517, 2013.</w:t>
      </w:r>
    </w:p>
  </w:footnote>
  <w:footnote w:id="3">
    <w:p w14:paraId="6B9E798E" w14:textId="67E50CAB" w:rsidR="008E04B3" w:rsidRPr="00E61541" w:rsidRDefault="008E04B3" w:rsidP="00CE1DD4">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lang w:val="en-US"/>
        </w:rPr>
        <w:t xml:space="preserve">Ref.: Smith, B.C. Infrared Spectral Interpretation: A Systematic Approach. </w:t>
      </w:r>
      <w:r w:rsidRPr="00E61541">
        <w:rPr>
          <w:rFonts w:ascii="Times New Roman" w:hAnsi="Times New Roman" w:cs="Times New Roman"/>
          <w:sz w:val="16"/>
          <w:szCs w:val="16"/>
        </w:rPr>
        <w:t>CRC Press, 1999. SENASP/MJ. POP nº 9.09. Brasília: MJSP, 2024.</w:t>
      </w:r>
    </w:p>
  </w:footnote>
  <w:footnote w:id="4">
    <w:p w14:paraId="2A1D8031" w14:textId="4D03EB9A" w:rsidR="00A05F41" w:rsidRPr="00C223E1" w:rsidRDefault="00A05F41" w:rsidP="00A05F41">
      <w:pPr>
        <w:pStyle w:val="PargrafodaLista"/>
        <w:spacing w:before="80" w:after="80" w:line="276" w:lineRule="auto"/>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w:t>
      </w:r>
      <w:proofErr w:type="spellStart"/>
      <w:r>
        <w:rPr>
          <w:rFonts w:ascii="Times New Roman" w:hAnsi="Times New Roman" w:cs="Times New Roman"/>
          <w:sz w:val="16"/>
          <w:szCs w:val="16"/>
        </w:rPr>
        <w:t>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w:t>
      </w:r>
      <w:proofErr w:type="spellStart"/>
      <w:r>
        <w:rPr>
          <w:rFonts w:ascii="Times New Roman" w:hAnsi="Times New Roman" w:cs="Times New Roman"/>
          <w:sz w:val="16"/>
          <w:szCs w:val="16"/>
        </w:rPr>
        <w:t>iii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BD344" w14:textId="14B74641" w:rsidR="008E04B3" w:rsidRPr="00B674A3" w:rsidRDefault="008E04B3" w:rsidP="00B674A3">
    <w:pPr>
      <w:jc w:val="center"/>
      <w:rPr>
        <w:rFonts w:ascii="Times New Roman" w:hAnsi="Times New Roman" w:cs="Times New Roman"/>
        <w:sz w:val="20"/>
        <w:szCs w:val="20"/>
      </w:rPr>
    </w:pPr>
    <w:r w:rsidRPr="00E61541">
      <w:rPr>
        <w:rFonts w:ascii="Times New Roman" w:hAnsi="Times New Roman" w:cs="Times New Roman"/>
        <w:b/>
        <w:bCs/>
        <w:sz w:val="20"/>
        <w:szCs w:val="20"/>
      </w:rPr>
      <w:t>NRPC/PHB</w:t>
    </w:r>
    <w:r w:rsidRPr="00B674A3">
      <w:rPr>
        <w:rFonts w:ascii="Times New Roman" w:hAnsi="Times New Roman" w:cs="Times New Roman"/>
        <w:sz w:val="20"/>
        <w:szCs w:val="20"/>
      </w:rPr>
      <w:t xml:space="preserve"> — Setor de Química Forense   |   </w:t>
    </w:r>
    <w:r>
      <w:rPr>
        <w:rFonts w:ascii="Times New Roman" w:hAnsi="Times New Roman" w:cs="Times New Roman"/>
        <w:sz w:val="20"/>
        <w:szCs w:val="20"/>
      </w:rPr>
      <w:t>Demanda</w:t>
    </w:r>
    <w:r w:rsidRPr="00B674A3">
      <w:rPr>
        <w:rFonts w:ascii="Times New Roman" w:hAnsi="Times New Roman" w:cs="Times New Roman"/>
        <w:sz w:val="20"/>
        <w:szCs w:val="20"/>
      </w:rPr>
      <w:t xml:space="preserve"> </w:t>
    </w:r>
    <w:r w:rsidR="00DE1102">
      <w:rPr>
        <w:rFonts w:ascii="Times New Roman" w:hAnsi="Times New Roman" w:cs="Times New Roman"/>
        <w:b/>
        <w:bCs/>
        <w:sz w:val="20"/>
        <w:szCs w:val="20"/>
      </w:rPr>
      <w:t>[DEMANDA]</w:t>
    </w:r>
    <w:r w:rsidRPr="00B674A3">
      <w:rPr>
        <w:rFonts w:ascii="Times New Roman" w:hAnsi="Times New Roman" w:cs="Times New Roman"/>
        <w:sz w:val="20"/>
        <w:szCs w:val="20"/>
      </w:rPr>
      <w:t xml:space="preserve"> |   Página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PAGE</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r w:rsidRPr="00B674A3">
      <w:rPr>
        <w:rFonts w:ascii="Times New Roman" w:hAnsi="Times New Roman" w:cs="Times New Roman"/>
        <w:sz w:val="20"/>
        <w:szCs w:val="20"/>
      </w:rPr>
      <w:t xml:space="preserve"> de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NUMPAGES</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p>
  <w:p w14:paraId="74FC99D9"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6F6CE402" w14:textId="77777777" w:rsidTr="008E04B3">
      <w:tc>
        <w:tcPr>
          <w:tcW w:w="1110" w:type="dxa"/>
          <w:vAlign w:val="center"/>
          <w:hideMark/>
        </w:tcPr>
        <w:p w14:paraId="03B29C77"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3F740D73" wp14:editId="6234BDD5">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76293082" w14:textId="77777777"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1C63720B" wp14:editId="7B81DDBA">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14:paraId="2536DCAC" w14:textId="77777777"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14:paraId="44BC6643" w14:textId="77777777"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14:paraId="0AABDF86" w14:textId="77777777"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14:paraId="7EAAE095" w14:textId="77777777" w:rsidR="008E04B3" w:rsidRPr="008F170F" w:rsidRDefault="007D2A64"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7C76AA36" w14:textId="77777777" w:rsidR="008E04B3" w:rsidRPr="008F170F" w:rsidRDefault="008E04B3" w:rsidP="00572A17">
          <w:pPr>
            <w:pStyle w:val="Contedodatabela"/>
            <w:ind w:left="-79"/>
            <w:rPr>
              <w:rFonts w:cs="Times New Roman"/>
            </w:rPr>
          </w:pPr>
        </w:p>
      </w:tc>
    </w:tr>
  </w:tbl>
  <w:p w14:paraId="5C58B5A0" w14:textId="3226D72F" w:rsidR="008E04B3" w:rsidRDefault="008E04B3" w:rsidP="00572A17">
    <w:pPr>
      <w:pStyle w:val="Cabealho"/>
      <w:pBdr>
        <w:bottom w:val="single" w:sz="12" w:space="1" w:color="auto"/>
      </w:pBdr>
    </w:pPr>
  </w:p>
  <w:p w14:paraId="0017F536"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7"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6"/>
    <w:lvlOverride w:ilvl="0">
      <w:startOverride w:val="1"/>
    </w:lvlOverride>
  </w:num>
  <w:num w:numId="2">
    <w:abstractNumId w:val="0"/>
  </w:num>
  <w:num w:numId="3">
    <w:abstractNumId w:val="4"/>
  </w:num>
  <w:num w:numId="4">
    <w:abstractNumId w:val="7"/>
  </w:num>
  <w:num w:numId="5">
    <w:abstractNumId w:val="2"/>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6E70"/>
    <w:rsid w:val="00060020"/>
    <w:rsid w:val="00082568"/>
    <w:rsid w:val="000C2AA8"/>
    <w:rsid w:val="000C3687"/>
    <w:rsid w:val="000F7D23"/>
    <w:rsid w:val="00121D7C"/>
    <w:rsid w:val="00170E58"/>
    <w:rsid w:val="001C73AF"/>
    <w:rsid w:val="002307C0"/>
    <w:rsid w:val="00234E3F"/>
    <w:rsid w:val="00256A8B"/>
    <w:rsid w:val="00265B1A"/>
    <w:rsid w:val="00273609"/>
    <w:rsid w:val="00296B30"/>
    <w:rsid w:val="002E3AB8"/>
    <w:rsid w:val="00310CED"/>
    <w:rsid w:val="00314F35"/>
    <w:rsid w:val="003510F6"/>
    <w:rsid w:val="003974C7"/>
    <w:rsid w:val="00397A29"/>
    <w:rsid w:val="003C180D"/>
    <w:rsid w:val="003D599E"/>
    <w:rsid w:val="004078C8"/>
    <w:rsid w:val="00421636"/>
    <w:rsid w:val="004622F5"/>
    <w:rsid w:val="004640B8"/>
    <w:rsid w:val="0049780B"/>
    <w:rsid w:val="004A4051"/>
    <w:rsid w:val="004C4BDD"/>
    <w:rsid w:val="004F5D08"/>
    <w:rsid w:val="005233A2"/>
    <w:rsid w:val="00533532"/>
    <w:rsid w:val="00572A17"/>
    <w:rsid w:val="00584034"/>
    <w:rsid w:val="006E3713"/>
    <w:rsid w:val="006F7F4D"/>
    <w:rsid w:val="007027B5"/>
    <w:rsid w:val="00772C5B"/>
    <w:rsid w:val="007A5982"/>
    <w:rsid w:val="007A6772"/>
    <w:rsid w:val="007B71B0"/>
    <w:rsid w:val="007C63D7"/>
    <w:rsid w:val="007D2A64"/>
    <w:rsid w:val="007D4CBD"/>
    <w:rsid w:val="007D5047"/>
    <w:rsid w:val="00854A9C"/>
    <w:rsid w:val="00876B22"/>
    <w:rsid w:val="00887715"/>
    <w:rsid w:val="008B61D5"/>
    <w:rsid w:val="008E04B3"/>
    <w:rsid w:val="008E12E4"/>
    <w:rsid w:val="008F6164"/>
    <w:rsid w:val="00900151"/>
    <w:rsid w:val="00922E5D"/>
    <w:rsid w:val="00956B3E"/>
    <w:rsid w:val="00966958"/>
    <w:rsid w:val="009F19ED"/>
    <w:rsid w:val="00A01AC6"/>
    <w:rsid w:val="00A05F41"/>
    <w:rsid w:val="00A063B7"/>
    <w:rsid w:val="00A45005"/>
    <w:rsid w:val="00B043CE"/>
    <w:rsid w:val="00B63C3B"/>
    <w:rsid w:val="00B674A3"/>
    <w:rsid w:val="00BF5F05"/>
    <w:rsid w:val="00C21D74"/>
    <w:rsid w:val="00C223E1"/>
    <w:rsid w:val="00C238E6"/>
    <w:rsid w:val="00C371C9"/>
    <w:rsid w:val="00C41329"/>
    <w:rsid w:val="00CE1DD4"/>
    <w:rsid w:val="00CE519A"/>
    <w:rsid w:val="00D50476"/>
    <w:rsid w:val="00D75474"/>
    <w:rsid w:val="00DB2058"/>
    <w:rsid w:val="00DE1102"/>
    <w:rsid w:val="00E57B80"/>
    <w:rsid w:val="00E61541"/>
    <w:rsid w:val="00E6228B"/>
    <w:rsid w:val="00E74FC0"/>
    <w:rsid w:val="00EB22AF"/>
    <w:rsid w:val="00ED1870"/>
    <w:rsid w:val="00EF72B4"/>
    <w:rsid w:val="00F07CCF"/>
    <w:rsid w:val="00F755A6"/>
    <w:rsid w:val="00FF67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1BC94"/>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2E3A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2202</Words>
  <Characters>11895</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14069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4</cp:revision>
  <dcterms:created xsi:type="dcterms:W3CDTF">2026-06-05T20:48:00Z</dcterms:created>
  <dcterms:modified xsi:type="dcterms:W3CDTF">2026-06-06T12:39:00Z</dcterms:modified>
</cp:coreProperties>
</file>