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A56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1175758C"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22B37CD" w14:textId="77777777" w:rsidR="002307C0" w:rsidRPr="00170E58" w:rsidRDefault="002307C0" w:rsidP="002307C0">
      <w:pPr>
        <w:rPr>
          <w:rFonts w:ascii="Times New Roman" w:hAnsi="Times New Roman" w:cs="Times New Roman"/>
          <w:sz w:val="24"/>
          <w:szCs w:val="24"/>
        </w:rPr>
      </w:pPr>
    </w:p>
    <w:p w14:paraId="2F08994D"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77EDF30A"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7E91BF30" w14:textId="77777777" w:rsidR="002307C0" w:rsidRPr="00170E58" w:rsidRDefault="002307C0" w:rsidP="00296B30">
      <w:pPr>
        <w:pStyle w:val="SemEspaamento"/>
      </w:pPr>
    </w:p>
    <w:p w14:paraId="38609EAE"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[TOTAL]</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DEPARTAMENTO DE POLÍCIA CIENTÍFICA da POLÍCIA CIVIL DO ESTADO DO PIAUÍ, recebeu a requisição nº. Ofício nº. [DOCUMENTO], datada de </w:t>
      </w:r>
      <w:r>
        <w:rPr>
          <w:rFonts w:ascii="Times New Roman" w:hAnsi="Times New Roman" w:cs="Times New Roman"/>
          <w:b/>
          <w:bCs/>
          <w:sz w:val="24"/>
          <w:szCs w:val="24"/>
        </w:rPr>
        <w:t>[DD_DOC]</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6DB457FE" w14:textId="77777777" w:rsidR="00533532" w:rsidRPr="00170E58" w:rsidRDefault="00533532" w:rsidP="00296B30">
      <w:pPr>
        <w:pStyle w:val="SemEspaamento"/>
      </w:pPr>
    </w:p>
    <w:p w14:paraId="3AA0A2DC"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3F94A7DD" w14:textId="77777777" w:rsidR="00170E58" w:rsidRDefault="00170E58" w:rsidP="00296B30">
      <w:pPr>
        <w:pStyle w:val="SemEspaamento"/>
      </w:pPr>
    </w:p>
    <w:p w14:paraId="44F8B03D"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138DDDAB" w14:textId="77777777" w:rsidR="00533532" w:rsidRPr="00170E58" w:rsidRDefault="00533532" w:rsidP="00296B30">
      <w:pPr>
        <w:pStyle w:val="SemEspaamento"/>
      </w:pPr>
    </w:p>
    <w:p w14:paraId="447DA3DD"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23043EB6"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74E69565" w14:textId="59E9475F" w:rsidR="003E3F4C" w:rsidRPr="00D6381D" w:rsidRDefault="003E3F4C" w:rsidP="003E3F4C">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Ofício nº. [DOCUMENTO], cujo instrumento supre funcionalmente o lacre de entrada no contexto de remessa interinstitucional, em conformidade com o art. 158-B, IV, do CPP, que admite o documento de tramitação como elemento da cadeia de custódia, sendo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4CFE3642" w14:textId="77777777" w:rsidR="003E3F4C" w:rsidRDefault="003E3F4C" w:rsidP="00170E58">
      <w:pPr>
        <w:spacing w:before="80" w:after="80"/>
        <w:jc w:val="both"/>
        <w:rPr>
          <w:rFonts w:ascii="Times New Roman" w:hAnsi="Times New Roman" w:cs="Times New Roman"/>
          <w:sz w:val="24"/>
          <w:szCs w:val="24"/>
        </w:rPr>
      </w:pPr>
    </w:p>
    <w:p w14:paraId="4F74517A"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3C66847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0"/>
        <w:gridCol w:w="2093"/>
        <w:gridCol w:w="1308"/>
        <w:gridCol w:w="2472"/>
        <w:gridCol w:w="2950"/>
      </w:tblGrid>
      <w:tr w:rsidR="00770F5F" w:rsidRPr="00B674A3" w14:paraId="2024670E" w14:textId="77777777" w:rsidTr="00770F5F">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70" w:type="dxa"/>
          </w:tcPr>
          <w:p w14:paraId="43F3DC0F"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093" w:type="dxa"/>
          </w:tcPr>
          <w:p w14:paraId="7D4E12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08" w:type="dxa"/>
          </w:tcPr>
          <w:p w14:paraId="37304268"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2472" w:type="dxa"/>
          </w:tcPr>
          <w:p w14:paraId="5170607A"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2950" w:type="dxa"/>
          </w:tcPr>
          <w:p w14:paraId="5F321A36"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770F5F" w:rsidRPr="00B674A3" w14:paraId="5BDFB5F4" w14:textId="77777777" w:rsidTr="0077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2F924AF8" w14:textId="77777777" w:rsidR="00770F5F" w:rsidRPr="00B674A3" w:rsidRDefault="00770F5F" w:rsidP="00770F5F">
            <w:pPr>
              <w:spacing w:before="80" w:after="80"/>
              <w:jc w:val="center"/>
              <w:rPr>
                <w:rFonts w:ascii="Times New Roman" w:hAnsi="Times New Roman" w:cs="Times New Roman"/>
                <w:sz w:val="20"/>
                <w:szCs w:val="20"/>
              </w:rPr>
            </w:pPr>
            <w:r>
              <w:rPr>
                <w:rFonts w:ascii="Times New Roman" w:hAnsi="Times New Roman" w:cs="Times New Roman"/>
                <w:sz w:val="20"/>
                <w:szCs w:val="20"/>
              </w:rPr>
              <w:t>d.</w:t>
            </w:r>
          </w:p>
        </w:tc>
        <w:tc>
          <w:tcPr>
            <w:tcW w:w="2093" w:type="dxa"/>
          </w:tcPr>
          <w:p w14:paraId="1A52DF7E" w14:textId="1CE29278"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[MASSA_BRUTA]</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 xml:space="preserve">[MASSA_BRUTA_EXT]) </w:t>
            </w:r>
            <w:r>
              <w:rPr>
                <w:rFonts w:ascii="Times New Roman" w:hAnsi="Times New Roman" w:cs="Times New Roman"/>
                <w:sz w:val="20"/>
                <w:szCs w:val="20"/>
              </w:rPr>
              <w:t>massa bruta</w:t>
            </w:r>
          </w:p>
        </w:tc>
        <w:tc>
          <w:tcPr>
            <w:tcW w:w="1308" w:type="dxa"/>
          </w:tcPr>
          <w:p w14:paraId="78549E9D" w14:textId="77777777"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[QTD_MDA]</w:t>
            </w:r>
          </w:p>
        </w:tc>
        <w:tc>
          <w:tcPr>
            <w:tcW w:w="2472" w:type="dxa"/>
          </w:tcPr>
          <w:p w14:paraId="6155F5ED" w14:textId="332D1DED"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2950" w:type="dxa"/>
          </w:tcPr>
          <w:p w14:paraId="39C87FE8" w14:textId="497C55D3"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[ASPECTOS_FISICOS]</w:t>
            </w:r>
          </w:p>
        </w:tc>
      </w:tr>
    </w:tbl>
    <w:p w14:paraId="30544734"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2C3C6F82" w14:textId="5514DA7E" w:rsidR="00A05F41" w:rsidRDefault="00770F5F" w:rsidP="00770F5F">
      <w:pPr>
        <w:spacing w:before="80" w:after="80"/>
        <w:jc w:val="center"/>
        <w:rPr>
          <w:rFonts w:ascii="Times New Roman" w:hAnsi="Times New Roman" w:cs="Times New Roman"/>
          <w:sz w:val="20"/>
          <w:szCs w:val="20"/>
        </w:rPr>
      </w:pPr>
      <w:r>
        <w:rPr>
          <w:noProof/>
        </w:rPr>
        <w:drawing>
          <wp:inline distT="0" distB="0" distL="0" distR="0" wp14:anchorId="29B49030" wp14:editId="224EC3C3">
            <wp:extent cx="4680818" cy="3538538"/>
            <wp:effectExtent l="0" t="0" r="5715"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7005" cy="3558335"/>
                    </a:xfrm>
                    <a:prstGeom prst="rect">
                      <a:avLst/>
                    </a:prstGeom>
                    <a:noFill/>
                    <a:ln>
                      <a:noFill/>
                    </a:ln>
                  </pic:spPr>
                </pic:pic>
              </a:graphicData>
            </a:graphic>
          </wp:inline>
        </w:drawing>
        <w:drawing>
          <wp:inline distT="0" distB="0" distL="0" distR="0" wp14:anchorId="09E74689" wp14:editId="2A0D225B">
            <wp:extent cx="4673123" cy="3252470"/>
            <wp:effectExtent l="0" t="0" r="0" b="50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9775" cy="3271020"/>
                    </a:xfrm>
                    <a:prstGeom prst="rect">
                      <a:avLst/>
                    </a:prstGeom>
                    <a:noFill/>
                    <a:ln>
                      <a:noFill/>
                    </a:ln>
                  </pic:spPr>
                </pic:pic>
              </a:graphicData>
            </a:graphic>
          </wp:inline>
        </w:drawing>
      </w:r>
    </w:p>
    <w:p w14:paraId="68771806" w14:textId="77777777"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BE191A5" w14:textId="77777777" w:rsidR="00533532" w:rsidRPr="007B71B0" w:rsidRDefault="00533532" w:rsidP="007B71B0">
      <w:pPr>
        <w:rPr>
          <w:rFonts w:ascii="Times New Roman" w:hAnsi="Times New Roman" w:cs="Times New Roman"/>
          <w:sz w:val="24"/>
          <w:szCs w:val="24"/>
        </w:rPr>
      </w:pPr>
    </w:p>
    <w:p w14:paraId="579D3D42"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4643F068" w14:textId="77777777" w:rsidR="00533532" w:rsidRPr="007B71B0" w:rsidRDefault="00533532" w:rsidP="00296B30">
      <w:pPr>
        <w:pStyle w:val="SemEspaamento"/>
      </w:pPr>
    </w:p>
    <w:p w14:paraId="376AA10B" w14:textId="2C03F55D"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10B105FB" w14:textId="77777777" w:rsidR="00533532" w:rsidRPr="007B71B0" w:rsidRDefault="00533532" w:rsidP="00296B30">
      <w:pPr>
        <w:pStyle w:val="SemEspaamento"/>
      </w:pPr>
    </w:p>
    <w:p w14:paraId="723F1FA2"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7AAD858E"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6DE99497" w14:textId="0B7B521B" w:rsidR="00533532" w:rsidRPr="007B71B0" w:rsidRDefault="009A2667"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w:t>
      </w:r>
      <w:r>
        <w:rPr>
          <w:rFonts w:ascii="Times New Roman" w:eastAsia="Times New Roman" w:hAnsi="Times New Roman" w:cs="Times New Roman"/>
          <w:sz w:val="24"/>
          <w:szCs w:val="24"/>
        </w:rPr>
        <w:t xml:space="preserve">O espectrômetro </w:t>
      </w:r>
      <w:r>
        <w:rPr>
          <w:rFonts w:ascii="Times New Roman" w:eastAsia="Times New Roman" w:hAnsi="Times New Roman" w:cs="Times New Roman"/>
          <w:i/>
          <w:iCs/>
          <w:sz w:val="24"/>
          <w:szCs w:val="24"/>
        </w:rPr>
        <w:t>Bruker Alpha II</w:t>
      </w:r>
      <w:r>
        <w:rPr>
          <w:rFonts w:ascii="Times New Roman" w:eastAsia="Times New Roman" w:hAnsi="Times New Roman" w:cs="Times New Roman"/>
          <w:sz w:val="24"/>
          <w:szCs w:val="24"/>
        </w:rPr>
        <w:t xml:space="preserve"> (nº de série [BRUKER_SN]) foi submetido ao Protocolo de Qualificação de Desempenho (OVP — </w:t>
      </w:r>
      <w:r>
        <w:rPr>
          <w:rFonts w:ascii="Times New Roman" w:eastAsia="Times New Roman" w:hAnsi="Times New Roman" w:cs="Times New Roman"/>
          <w:i/>
          <w:iCs/>
          <w:sz w:val="24"/>
          <w:szCs w:val="24"/>
        </w:rPr>
        <w:t>Operational Verification Protocol</w:t>
      </w:r>
      <w:r>
        <w:rPr>
          <w:rFonts w:ascii="Times New Roman" w:eastAsia="Times New Roman" w:hAnsi="Times New Roman" w:cs="Times New Roman"/>
          <w:sz w:val="24"/>
          <w:szCs w:val="24"/>
        </w:rPr>
        <w:t xml:space="preserve"> / PQ Test, Bruker Optik GmbH) em [OVP_DATA] às [OVP_HORA] (GMT-3), validade [OVP_VALIDADE_DATA] às [OVP_VALIDADE_HORA] (GMT-3) com resultado geral </w:t>
      </w:r>
      <w:r>
        <w:rPr>
          <w:rFonts w:ascii="Times New Roman" w:eastAsia="Times New Roman" w:hAnsi="Times New Roman" w:cs="Times New Roman"/>
          <w:b/>
          <w:bCs/>
          <w:sz w:val="24"/>
          <w:szCs w:val="24"/>
        </w:rPr>
        <w:t>PASSED</w:t>
      </w:r>
      <w:r>
        <w:rPr>
          <w:rFonts w:ascii="Times New Roman" w:eastAsia="Times New Roman" w:hAnsi="Times New Roman" w:cs="Times New Roman"/>
          <w:sz w:val="24"/>
          <w:szCs w:val="24"/>
        </w:rPr>
        <w:t xml:space="preserve"> em todos os testes obrigatórios: (i) Relação Sinal/Ruído (S/N) medida: [OVP_SN_VALUE] (mínimo exigido: 150); (ii) Desvio máximo da linha 100%: [OVP_BASELINE_DEV] (máximo admissível: 2,0%); (iii) Exatidão de número de onda verificada com poliestireno padrão: desvio medido de [OVP_WAVENUMBER_DEV] (máximo admissível: ±0,50 cm⁻¹). Os resultados atestam plena conformidade instrumental à época da realização dos exames.</w:t>
      </w:r>
      <w:r>
        <w:rPr>
          <w:rFonts w:ascii="Times New Roman" w:hAnsi="Times New Roman" w:cs="Times New Roman"/>
          <w:sz w:val="24"/>
          <w:szCs w:val="24"/>
        </w:rPr>
        <w:t xml:space="preserve"> </w:t>
      </w:r>
    </w:p>
    <w:p w14:paraId="34F6565F" w14:textId="77777777" w:rsidR="00533532" w:rsidRPr="007B71B0" w:rsidRDefault="00533532" w:rsidP="00296B30">
      <w:pPr>
        <w:pStyle w:val="SemEspaamento"/>
      </w:pPr>
    </w:p>
    <w:p w14:paraId="695C5B8B"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1730C5F4"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4526EF0B" w14:textId="77777777" w:rsidR="00533532" w:rsidRPr="007B71B0" w:rsidRDefault="00533532" w:rsidP="00296B30">
      <w:pPr>
        <w:pStyle w:val="SemEspaamento"/>
      </w:pPr>
    </w:p>
    <w:p w14:paraId="01AD44D4" w14:textId="7777777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2.3.   Espectroscopia no Infravermelho por Transformada de Fourier (FTIR-ATR)</w:t>
      </w:r>
    </w:p>
    <w:p w14:paraId="6F362598" w14:textId="77777777" w:rsidR="00E61541" w:rsidRDefault="00E61541"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dos itens questionados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0B4D3B59" w14:textId="3F0518F5" w:rsidR="00CE1DD4" w:rsidRPr="007B71B0" w:rsidRDefault="00CE1DD4" w:rsidP="00CE1DD4">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Espectrômetro </w:t>
      </w:r>
      <w:r>
        <w:rPr>
          <w:rFonts w:ascii="Times New Roman" w:eastAsia="Times New Roman" w:hAnsi="Times New Roman" w:cs="Times New Roman"/>
          <w:i/>
          <w:iCs/>
          <w:sz w:val="24"/>
          <w:szCs w:val="24"/>
        </w:rPr>
        <w:t>Bruker Alpha II</w:t>
      </w:r>
      <w:r>
        <w:rPr>
          <w:rFonts w:ascii="Times New Roman" w:eastAsia="Times New Roman" w:hAnsi="Times New Roman" w:cs="Times New Roman"/>
          <w:sz w:val="24"/>
          <w:szCs w:val="24"/>
        </w:rPr>
        <w:t xml:space="preserve"> (nº de série [BRUKER_SN]), equipado com acessório de Reflectância Total Atenuada (ATR) com cristal de diamante ([ATR_MODULO]), operando na região espectral de 4000 a 650 cm⁻¹, com 16 varreduras (</w:t>
      </w:r>
      <w:r>
        <w:rPr>
          <w:rFonts w:ascii="Times New Roman" w:eastAsia="Times New Roman" w:hAnsi="Times New Roman" w:cs="Times New Roman"/>
          <w:i/>
          <w:iCs/>
          <w:sz w:val="24"/>
          <w:szCs w:val="24"/>
        </w:rPr>
        <w:t>scans</w:t>
      </w:r>
      <w:r>
        <w:rPr>
          <w:rFonts w:ascii="Times New Roman" w:eastAsia="Times New Roman" w:hAnsi="Times New Roman" w:cs="Times New Roman"/>
          <w:sz w:val="24"/>
          <w:szCs w:val="24"/>
        </w:rPr>
        <w:t xml:space="preserve">) e resolução de 4 cm⁻¹. O processamento e a identificação espectral foram realizados pelo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(Bruker Optik GmbH), versão [OPUS_VERSAO].</w:t>
      </w:r>
    </w:p>
    <w:p w14:paraId="2CEA8AF1" w14:textId="3B964461"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A tolerância declarada de ±4 cm⁻¹ é tecnicamente conservadora em relação à exatidão </w:t>
        <w:lastRenderedPageBreak/>
        <w:t>de número de onda verificada instrumentalmente pelo OVP vigente, conferindo margem analítica adicional de segurança às identificações realizadas.</w:t>
      </w:r>
    </w:p>
    <w:p w14:paraId="3CE10F93" w14:textId="77777777"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7EC61BBD" wp14:editId="11232EFA">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211F53F2"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49E420B6" w14:textId="77777777" w:rsidR="00533532" w:rsidRPr="00296B30" w:rsidRDefault="00533532" w:rsidP="00296B30">
      <w:pPr>
        <w:pStyle w:val="SemEspaamento"/>
      </w:pPr>
    </w:p>
    <w:p w14:paraId="4FC7CFFD"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3F831000" w14:textId="77777777" w:rsidR="00533532" w:rsidRPr="004622F5" w:rsidRDefault="004A4051" w:rsidP="004622F5">
      <w:pPr>
        <w:pStyle w:val="Ttulo2"/>
        <w:spacing w:before="120"/>
        <w:jc w:val="both"/>
        <w:rPr>
          <w:rFonts w:ascii="Times New Roman" w:hAnsi="Times New Roman" w:cs="Times New Roman"/>
          <w:sz w:val="24"/>
          <w:szCs w:val="24"/>
        </w:rPr>
      </w:pPr>
      <w:bookmarkStart w:id="0" w:name="_Hlk231492446"/>
      <w:r>
        <w:rPr>
          <w:rFonts w:ascii="Times New Roman" w:hAnsi="Times New Roman" w:cs="Times New Roman"/>
          <w:sz w:val="24"/>
          <w:szCs w:val="24"/>
        </w:rPr>
        <w:t>3.1   Análise por FTIR-ATR — Item d.</w:t>
      </w:r>
    </w:p>
    <w:p w14:paraId="2209A9D7" w14:textId="77777777"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mediante comparação com biblioteca espectral de referência por meio do software </w:t>
      </w:r>
      <w:r>
        <w:rPr>
          <w:rFonts w:ascii="Times New Roman" w:eastAsia="Times New Roman" w:hAnsi="Times New Roman" w:cs="Times New Roman"/>
          <w:i/>
          <w:iCs/>
          <w:sz w:val="24"/>
          <w:szCs w:val="24"/>
        </w:rPr>
        <w:t>OPUS DrugID Wizard</w:t>
      </w:r>
      <w:r>
        <w:rPr>
          <w:rFonts w:ascii="Times New Roman" w:hAnsi="Times New Roman" w:cs="Times New Roman"/>
          <w:sz w:val="24"/>
          <w:szCs w:val="24"/>
        </w:rPr>
        <w:t xml:space="preserve">, o espectro obtido apresentou compatibilidade com mistura de três compostos: </w:t>
      </w:r>
      <w:r>
        <w:rPr>
          <w:rFonts w:ascii="Times New Roman" w:hAnsi="Times New Roman" w:cs="Times New Roman"/>
          <w:b/>
          <w:bCs/>
          <w:sz w:val="24"/>
          <w:szCs w:val="24"/>
        </w:rPr>
        <w:t>[COMPOSTO_1]</w:t>
      </w:r>
      <w:r>
        <w:rPr>
          <w:rFonts w:ascii="Times New Roman" w:hAnsi="Times New Roman" w:cs="Times New Roman"/>
          <w:sz w:val="24"/>
          <w:szCs w:val="24"/>
        </w:rPr>
        <w:t xml:space="preserve"> ([TEOR_1]% do espectro), </w:t>
      </w:r>
      <w:r>
        <w:rPr>
          <w:rFonts w:ascii="Times New Roman" w:hAnsi="Times New Roman" w:cs="Times New Roman"/>
          <w:b/>
          <w:bCs/>
          <w:sz w:val="24"/>
          <w:szCs w:val="24"/>
        </w:rPr>
        <w:t>[COMPOSTO_2]</w:t>
      </w:r>
      <w:r>
        <w:rPr>
          <w:rFonts w:ascii="Times New Roman" w:hAnsi="Times New Roman" w:cs="Times New Roman"/>
          <w:sz w:val="24"/>
          <w:szCs w:val="24"/>
        </w:rPr>
        <w:t xml:space="preserve"> ([TEOR_2]%) e </w:t>
      </w:r>
      <w:r>
        <w:rPr>
          <w:rFonts w:ascii="Times New Roman" w:hAnsi="Times New Roman" w:cs="Times New Roman"/>
          <w:b/>
          <w:bCs/>
          <w:sz w:val="24"/>
          <w:szCs w:val="24"/>
        </w:rPr>
        <w:t>[COMPOSTO_3]</w:t>
      </w:r>
      <w:r>
        <w:rPr>
          <w:rFonts w:ascii="Times New Roman" w:hAnsi="Times New Roman" w:cs="Times New Roman"/>
          <w:sz w:val="24"/>
          <w:szCs w:val="24"/>
        </w:rPr>
        <w:t xml:space="preserve"> ([TEOR_3]%). Nenhum dos compostos identificados consta nas listas de substâncias entorpecentes ou psicotrópicas sob controle especial da Portaria SVS/MS nº 344, de 12/05/1998, e atualizações posteriores (ANVISA). A discriminação dos compostos, com respectivos identificadores químicos, consta na Tabela 2.</w:t>
      </w:r>
    </w:p>
    <w:tbl>
      <w:tblPr>
        <w:tblStyle w:val="TabeladeGrade4-nfase1"/>
        <w:tblW w:w="9660" w:type="dxa"/>
        <w:tblLook w:val="04A0" w:firstRow="1" w:lastRow="0" w:firstColumn="1" w:lastColumn="0" w:noHBand="0" w:noVBand="1"/>
      </w:tblPr>
      <w:tblGrid>
        <w:gridCol w:w="2400"/>
        <w:gridCol w:w="1500"/>
        <w:gridCol w:w="2400"/>
        <w:gridCol w:w="1900"/>
        <w:gridCol w:w="1460"/>
      </w:tblGrid>
      <w:tr w:rsidR="00B777C4" w14:paraId="69764E3D" w14:textId="77777777" w:rsidTr="00B77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7C56EC6"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w:t>
            </w:r>
          </w:p>
        </w:tc>
        <w:tc>
          <w:tcPr>
            <w:tcW w:w="1500" w:type="dxa"/>
          </w:tcPr>
          <w:p w14:paraId="1C37A1AF"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Nº CAS</w:t>
            </w:r>
          </w:p>
        </w:tc>
        <w:tc>
          <w:tcPr>
            <w:tcW w:w="2400" w:type="dxa"/>
          </w:tcPr>
          <w:p w14:paraId="1D4284CD"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Fórmula molecular</w:t>
            </w:r>
          </w:p>
        </w:tc>
        <w:tc>
          <w:tcPr>
            <w:tcW w:w="1900" w:type="dxa"/>
          </w:tcPr>
          <w:p w14:paraId="1BED783A"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molar (g/mol)</w:t>
            </w:r>
          </w:p>
        </w:tc>
        <w:tc>
          <w:tcPr>
            <w:tcW w:w="1460" w:type="dxa"/>
          </w:tcPr>
          <w:p w14:paraId="002A150D"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 no espectro (%)</w:t>
            </w:r>
          </w:p>
        </w:tc>
      </w:tr>
      <w:tr w:rsidR="00B777C4" w14:paraId="6144D1CB" w14:textId="77777777" w:rsidTr="00B77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AA4750A"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[COMPOSTO_1]</w:t>
            </w:r>
          </w:p>
        </w:tc>
        <w:tc>
          <w:tcPr>
            <w:tcW w:w="1500" w:type="dxa"/>
          </w:tcPr>
          <w:p w14:paraId="122B0B07"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[CAS_1]</w:t>
            </w:r>
          </w:p>
        </w:tc>
        <w:tc>
          <w:tcPr>
            <w:tcW w:w="2400" w:type="dxa"/>
          </w:tcPr>
          <w:p w14:paraId="1852D1E7"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[FORMULA_1]</w:t>
            </w:r>
          </w:p>
        </w:tc>
        <w:tc>
          <w:tcPr>
            <w:tcW w:w="1900" w:type="dxa"/>
          </w:tcPr>
          <w:p w14:paraId="3C4B53E6"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[PM_1]</w:t>
            </w:r>
          </w:p>
        </w:tc>
        <w:tc>
          <w:tcPr>
            <w:tcW w:w="1460" w:type="dxa"/>
          </w:tcPr>
          <w:p w14:paraId="30DE753F"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[TEOR_1]</w:t>
            </w:r>
          </w:p>
        </w:tc>
      </w:tr>
      <w:tr w:rsidR="00B777C4" w14:paraId="1244D9EC" w14:textId="77777777" w:rsidTr="00B777C4">
        <w:tc>
          <w:tcPr>
            <w:cnfStyle w:val="001000000000" w:firstRow="0" w:lastRow="0" w:firstColumn="1" w:lastColumn="0" w:oddVBand="0" w:evenVBand="0" w:oddHBand="0" w:evenHBand="0" w:firstRowFirstColumn="0" w:firstRowLastColumn="0" w:lastRowFirstColumn="0" w:lastRowLastColumn="0"/>
            <w:tcW w:w="2400" w:type="dxa"/>
          </w:tcPr>
          <w:p w14:paraId="283145C5"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[COMPOSTO_2]</w:t>
            </w:r>
          </w:p>
        </w:tc>
        <w:tc>
          <w:tcPr>
            <w:tcW w:w="1500" w:type="dxa"/>
          </w:tcPr>
          <w:p w14:paraId="054E550F"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[CAS_2]</w:t>
            </w:r>
          </w:p>
        </w:tc>
        <w:tc>
          <w:tcPr>
            <w:tcW w:w="2400" w:type="dxa"/>
          </w:tcPr>
          <w:p w14:paraId="2921E6A9"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[FORMULA_2]</w:t>
            </w:r>
          </w:p>
        </w:tc>
        <w:tc>
          <w:tcPr>
            <w:tcW w:w="1900" w:type="dxa"/>
          </w:tcPr>
          <w:p w14:paraId="149A9C71"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[PM_2]</w:t>
            </w:r>
          </w:p>
        </w:tc>
        <w:tc>
          <w:tcPr>
            <w:tcW w:w="1460" w:type="dxa"/>
          </w:tcPr>
          <w:p w14:paraId="0A7053A0"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[TEOR_2]</w:t>
            </w:r>
          </w:p>
        </w:tc>
      </w:tr>
      <w:tr w:rsidR="00B777C4" w14:paraId="300C3641" w14:textId="77777777" w:rsidTr="00B77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669006F"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[COMPOSTO_3]</w:t>
            </w:r>
          </w:p>
        </w:tc>
        <w:tc>
          <w:tcPr>
            <w:tcW w:w="1500" w:type="dxa"/>
          </w:tcPr>
          <w:p w14:paraId="35428A07"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[CAS_3]</w:t>
            </w:r>
          </w:p>
        </w:tc>
        <w:tc>
          <w:tcPr>
            <w:tcW w:w="2400" w:type="dxa"/>
          </w:tcPr>
          <w:p w14:paraId="54B5F101"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[FORMULA_3]</w:t>
            </w:r>
          </w:p>
        </w:tc>
        <w:tc>
          <w:tcPr>
            <w:tcW w:w="1900" w:type="dxa"/>
          </w:tcPr>
          <w:p w14:paraId="62EB919F"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[PM_3]</w:t>
            </w:r>
          </w:p>
        </w:tc>
        <w:tc>
          <w:tcPr>
            <w:tcW w:w="1460" w:type="dxa"/>
          </w:tcPr>
          <w:p w14:paraId="023E6DF0"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[TEOR_3]</w:t>
            </w:r>
          </w:p>
        </w:tc>
      </w:tr>
    </w:tbl>
    <w:p w14:paraId="5F8A1994" w14:textId="77777777"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2. Identificação dos componentes por comparação com biblioteca espectral de referência (FTIR-ATR).</w:t>
      </w:r>
    </w:p>
    <w:bookmarkEnd w:id="0"/>
    <w:p w14:paraId="50043BED"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3"/>
      </w:r>
    </w:p>
    <w:p w14:paraId="4D7BC1EC" w14:textId="77777777"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 exame realizado —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1FCB57DF" w14:textId="77777777" w:rsidR="00533532" w:rsidRPr="00B043CE" w:rsidRDefault="00533532">
      <w:pPr>
        <w:rPr>
          <w:rFonts w:ascii="Times New Roman" w:hAnsi="Times New Roman" w:cs="Times New Roman"/>
          <w:sz w:val="24"/>
          <w:szCs w:val="24"/>
        </w:rPr>
      </w:pPr>
      <w:bookmarkStart w:id="1" w:name="_Hlk231493053"/>
    </w:p>
    <w:tbl>
      <w:tblPr>
        <w:tblStyle w:val="TabeladeGrade4-nfase1"/>
        <w:tblW w:w="9638" w:type="dxa"/>
        <w:tblLook w:val="04A0" w:firstRow="1" w:lastRow="0" w:firstColumn="1" w:lastColumn="0" w:noHBand="0" w:noVBand="1"/>
      </w:tblPr>
      <w:tblGrid>
        <w:gridCol w:w="9638"/>
      </w:tblGrid>
      <w:tr w:rsidR="00533532" w:rsidRPr="00B043CE" w14:paraId="56B1AE7B"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56F6D762" w14:textId="77777777"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d. — Não detectada substância controlada</w:t>
            </w:r>
          </w:p>
        </w:tc>
      </w:tr>
      <w:tr w:rsidR="00533532" w:rsidRPr="00B043CE" w14:paraId="63A5CC2E"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797F8364" w14:textId="77777777" w:rsidR="00533532" w:rsidRPr="002E3AB8" w:rsidRDefault="004A4051" w:rsidP="001D12DE">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NÃO DETECTOU</w:t>
            </w:r>
            <w:r>
              <w:rPr>
                <w:rFonts w:ascii="Times New Roman" w:hAnsi="Times New Roman" w:cs="Times New Roman"/>
                <w:b w:val="0"/>
                <w:bCs w:val="0"/>
                <w:sz w:val="24"/>
                <w:szCs w:val="24"/>
              </w:rPr>
              <w:t xml:space="preserve"> a presença de substâncias entorpecentes ou psicotrópicas incluídas nas listas de controle especial da Portaria SVS/MS nº 344, de 12/05/1998, e atualizações posteriores (ANVISA), nos comprimidos examinados.</w:t>
            </w:r>
          </w:p>
          <w:p w14:paraId="2BE083F2" w14:textId="77777777" w:rsidR="00533532" w:rsidRDefault="00533532" w:rsidP="001D12DE">
            <w:pPr>
              <w:rPr>
                <w:rFonts w:ascii="Times New Roman" w:hAnsi="Times New Roman" w:cs="Times New Roman"/>
                <w:b w:val="0"/>
                <w:bCs w:val="0"/>
                <w:sz w:val="24"/>
                <w:szCs w:val="24"/>
              </w:rPr>
            </w:pPr>
          </w:p>
          <w:p w14:paraId="5F32B50D" w14:textId="77777777" w:rsidR="00533532" w:rsidRDefault="004A4051" w:rsidP="001D12DE">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O espectro de absorção infravermelha por FTIR-ATR é compatível com mistura de [COMPOSTO_1] ([FORMULA_1], PM [PM_1] g/mol, CAS [CAS_1]), [COMPOSTO_2] ([FORMULA_2], PM [PM_2] g/mol, CAS [CAS_2]) e [COMPOSTO_3] ([FORMULA_3], PM [PM_3] g/mol, CAS [CAS_3]), substâncias não incluídas em qualquer lista de controle especial vigente.</w:t>
            </w:r>
          </w:p>
          <w:p w14:paraId="3758A145" w14:textId="77777777" w:rsidR="00533532" w:rsidRDefault="00533532" w:rsidP="001D12DE">
            <w:pPr>
              <w:rPr>
                <w:rFonts w:ascii="Times New Roman" w:hAnsi="Times New Roman" w:cs="Times New Roman"/>
                <w:b w:val="0"/>
                <w:bCs w:val="0"/>
                <w:sz w:val="24"/>
                <w:szCs w:val="24"/>
              </w:rPr>
            </w:pPr>
          </w:p>
          <w:p w14:paraId="5E2F9CF8" w14:textId="77777777" w:rsidR="00533532" w:rsidRDefault="004A4051" w:rsidP="001D12DE">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Ressalva-se, contudo, que o método FTIR-ATR opera por comparação espectral de componentes majoritários, não sendo capaz de identificar substâncias presentes em concentrações abaixo do limiar analítico da técnica. Assim, o resultado negativo não exclui a possibilidade de presença de substâncias controladas em concentrações traço inferiores à sensibilidade do método.</w:t>
            </w:r>
          </w:p>
        </w:tc>
      </w:tr>
    </w:tbl>
    <w:p w14:paraId="6A96E4BD" w14:textId="77777777" w:rsidR="00533532" w:rsidRPr="00B043CE" w:rsidRDefault="00533532">
      <w:pPr>
        <w:rPr>
          <w:rFonts w:ascii="Times New Roman" w:hAnsi="Times New Roman" w:cs="Times New Roman"/>
          <w:sz w:val="24"/>
          <w:szCs w:val="24"/>
        </w:rPr>
      </w:pPr>
    </w:p>
    <w:bookmarkEnd w:id="1"/>
    <w:p w14:paraId="39D2134F" w14:textId="77777777" w:rsidR="00876B22" w:rsidRPr="00B043CE" w:rsidRDefault="00876B22" w:rsidP="00876B22">
      <w:pPr>
        <w:rPr>
          <w:sz w:val="24"/>
          <w:szCs w:val="24"/>
        </w:rPr>
      </w:pPr>
    </w:p>
    <w:p w14:paraId="4B3B7FB6"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449F43EE"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70680505"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CFDE0F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2AD60D1"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B1E642F"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1957B8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3EB0439B"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3713E07C"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27F60E8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259743E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350E909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097D56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2BE2C0E3" w14:textId="77777777"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Ofício/TCO nº [DOCUMENTO]</w:t>
            </w:r>
          </w:p>
        </w:tc>
      </w:tr>
      <w:tr w:rsidR="00533532" w:rsidRPr="00C371C9" w14:paraId="11DFEE05"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ACDDF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170ABC2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5908199" w14:textId="77777777"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56BAF9D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5E0FF756" w14:textId="77777777"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r w:rsidR="00533532" w:rsidRPr="00C371C9" w14:paraId="07FAC5C4"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33C89EE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3283DE7A"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TCO [BO]</w:t>
            </w:r>
          </w:p>
        </w:tc>
      </w:tr>
      <w:tr w:rsidR="00533532" w:rsidRPr="00C371C9" w14:paraId="66B425E9"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A81A2B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1A4BBD91"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 [CPF]</w:t>
            </w:r>
          </w:p>
        </w:tc>
      </w:tr>
      <w:tr w:rsidR="00533532" w:rsidRPr="00C371C9" w14:paraId="7CA6DF4E"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281F4B5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539B01F4" w14:textId="77777777" w:rsidR="00533532" w:rsidRPr="004126CB" w:rsidRDefault="004126CB"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bl>
    <w:p w14:paraId="28D1A23B" w14:textId="77777777" w:rsidR="00533532" w:rsidRPr="00C371C9" w:rsidRDefault="00533532" w:rsidP="00C371C9">
      <w:pPr>
        <w:rPr>
          <w:rFonts w:ascii="Times New Roman" w:hAnsi="Times New Roman" w:cs="Times New Roman"/>
        </w:rPr>
      </w:pPr>
    </w:p>
    <w:p w14:paraId="0D4984AF"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7DE2121F"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873D97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6F6B2E74"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D69545D"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4DE245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39264D1E" w14:textId="77777777"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0F4D7364"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CD62CC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Documento de tramitação</w:t>
            </w:r>
          </w:p>
        </w:tc>
        <w:tc>
          <w:tcPr>
            <w:tcW w:w="6438" w:type="dxa"/>
          </w:tcPr>
          <w:p w14:paraId="5F81BD7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Ofício nº. [DOCUMENTO]</w:t>
            </w:r>
          </w:p>
        </w:tc>
      </w:tr>
      <w:tr w:rsidR="00533532" w:rsidRPr="00C371C9" w14:paraId="748CD91B"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95086E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115492B5"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024A79"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5A71D93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5CA70F4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0A2721E2"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2EFCD7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04AA08FA"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61E12142"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A4BA46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62EE0FCD"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AD9B1CB"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4C5CF8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03B611E8"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66E986A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C86A1A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23F41C2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59D65A1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7E0414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61356E53" w14:textId="70C5CA0C" w:rsidR="00533532" w:rsidRPr="00C371C9" w:rsidRDefault="009A266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F4A17F1" w14:textId="77777777" w:rsidR="00533532" w:rsidRPr="00C371C9" w:rsidRDefault="00533532" w:rsidP="00C371C9">
      <w:pPr>
        <w:rPr>
          <w:rFonts w:ascii="Times New Roman" w:hAnsi="Times New Roman" w:cs="Times New Roman"/>
        </w:rPr>
      </w:pPr>
    </w:p>
    <w:p w14:paraId="28854342"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475AAE98"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71F22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7D62837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FEA88BE"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CE8DDF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0C97A03A"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(item d.)</w:t>
            </w:r>
          </w:p>
        </w:tc>
      </w:tr>
      <w:tr w:rsidR="00533532" w:rsidRPr="00C371C9" w14:paraId="0564BDB1"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538CB94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8AD24AC"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FTIR-ATR (Cat. A/SWGDRUG)</w:t>
            </w:r>
          </w:p>
        </w:tc>
      </w:tr>
      <w:tr w:rsidR="00533532" w:rsidRPr="00C371C9" w14:paraId="3EB1C29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4CDF5A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d.</w:t>
            </w:r>
          </w:p>
        </w:tc>
        <w:tc>
          <w:tcPr>
            <w:tcW w:w="6808" w:type="dxa"/>
          </w:tcPr>
          <w:p w14:paraId="6C561D5F" w14:textId="77777777"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[COMPOSTO_1] + [COMPOSTO_2] + [COMPOSTO_3] — </w:t>
            </w:r>
            <w:r>
              <w:rPr>
                <w:rFonts w:ascii="Times New Roman" w:hAnsi="Times New Roman" w:cs="Times New Roman"/>
                <w:b/>
                <w:sz w:val="20"/>
                <w:szCs w:val="20"/>
              </w:rPr>
              <w:t>NÃO CONTROLADAS (Portaria 344/1998)</w:t>
            </w:r>
          </w:p>
        </w:tc>
      </w:tr>
      <w:tr w:rsidR="008E12E4" w:rsidRPr="00C371C9" w14:paraId="5FB3518C"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448214A9" w14:textId="77777777"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4D5F6505" w14:textId="77777777"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7D4C54CD" w14:textId="77777777" w:rsidR="00533532" w:rsidRPr="00C371C9" w:rsidRDefault="00533532" w:rsidP="00C371C9">
      <w:pPr>
        <w:rPr>
          <w:rFonts w:ascii="Times New Roman" w:hAnsi="Times New Roman" w:cs="Times New Roman"/>
        </w:rPr>
      </w:pPr>
    </w:p>
    <w:p w14:paraId="745E40B8"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5EE5C39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2F8E1FC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7A64C7B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BRASIL. Lei nº 13.964, de 24 de dezembro de 2019 (Pacote Anticrime). Art. 158-A a 158-F do CPP — Cadeia de Custódia da Prova. Diário Oficial da União, Brasília, DF, 24 dez. 2019.</w:t>
      </w:r>
    </w:p>
    <w:p w14:paraId="074D9AF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73E71C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419F07A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0CF4716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Regulamenta, no âmbito da Polícia Civil do Estado do Piauí, o procedimento para a apreensão, movimentação, perícias, acondicionamento, guarda e destruição de drogas, insumos e objetos relacionados. Teresina: PC-PI, 2021. SEI nº 2393293. Processo nº 00019.016957/2021-10.</w:t>
      </w:r>
    </w:p>
    <w:p w14:paraId="18AF1B9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Dispõe sobre a integração dos sistemas do Departamento de Polícia Científica e sobre os procedimentos relativos à cadeia de custódia de vestígios no âmbito da Secretaria de Segurança Pública do Estado do Piauí. Diário Oficial do Estado do Piauí, Teresina, n. 229, 28 nov. 2025.</w:t>
      </w:r>
    </w:p>
    <w:p w14:paraId="10C238E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060E204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66FA2C1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267B8EA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6D1CA45C"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7EDA5BBF"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19FEB82F" w14:textId="66CB37FE"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5BEC980C" w14:textId="77777777" w:rsidR="00533532" w:rsidRPr="00C371C9" w:rsidRDefault="00533532" w:rsidP="00C371C9">
      <w:pPr>
        <w:jc w:val="both"/>
        <w:rPr>
          <w:rFonts w:ascii="Times New Roman" w:hAnsi="Times New Roman" w:cs="Times New Roman"/>
          <w:sz w:val="24"/>
          <w:szCs w:val="24"/>
        </w:rPr>
      </w:pPr>
    </w:p>
    <w:p w14:paraId="1E91EE4F"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5F702064"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B97986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31BEC631"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0"/>
      <w:headerReference w:type="first" r:id="rId11"/>
      <w:footerReference w:type="first" r:id="rId12"/>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22EF7" w14:textId="77777777" w:rsidR="005E725B" w:rsidRDefault="005E725B">
      <w:r>
        <w:separator/>
      </w:r>
    </w:p>
  </w:endnote>
  <w:endnote w:type="continuationSeparator" w:id="0">
    <w:p w14:paraId="625CEF2D" w14:textId="77777777" w:rsidR="005E725B" w:rsidRDefault="005E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DD2AE" w14:textId="77777777" w:rsidR="008E04B3" w:rsidRDefault="008E04B3">
    <w:pPr>
      <w:pStyle w:val="Rodap"/>
    </w:pPr>
    <w:r>
      <w:rPr>
        <w:noProof/>
      </w:rPr>
      <w:drawing>
        <wp:anchor distT="0" distB="0" distL="114300" distR="114300" simplePos="0" relativeHeight="251664384" behindDoc="0" locked="0" layoutInCell="1" allowOverlap="1" wp14:anchorId="4B45E209" wp14:editId="52FD5367">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BF59A" w14:textId="77777777" w:rsidR="005E725B" w:rsidRDefault="005E725B">
      <w:r>
        <w:separator/>
      </w:r>
    </w:p>
  </w:footnote>
  <w:footnote w:type="continuationSeparator" w:id="0">
    <w:p w14:paraId="258DBCCB" w14:textId="77777777" w:rsidR="005E725B" w:rsidRDefault="005E725B">
      <w:r>
        <w:continuationSeparator/>
      </w:r>
    </w:p>
  </w:footnote>
  <w:footnote w:id="1">
    <w:p w14:paraId="5B7571FB"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em técnica de Categoria A (SWGDRUG Rev. 8.1, 2022). O FTIR-ATR (Cat. A) satisfaz isoladamente o requisito de técnica confirmatória primária com poder discriminatório máximo, conferindo ao laudo o mais alto nível de certeza analítica previsto na literatura forense especializada. Para o material examinado, a identificação por FTIR-ATR — Categoria A — é suficiente para identificação definitiva na ausência de ensaios colorimétricos de triagem específicos, em conformidade com SWGDRUG Rev. 8.1 (2022) e POP SENASP/MJ nº 9.09 (2024).</w:t>
      </w:r>
    </w:p>
  </w:footnote>
  <w:footnote w:id="2">
    <w:p w14:paraId="43A282AD" w14:textId="77777777"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3">
    <w:p w14:paraId="4C7BEE2E" w14:textId="77777777"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E2F70" w14:textId="77777777"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17CEBE98"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581FF85" w14:textId="77777777" w:rsidTr="008E04B3">
      <w:tc>
        <w:tcPr>
          <w:tcW w:w="1110" w:type="dxa"/>
          <w:vAlign w:val="center"/>
          <w:hideMark/>
        </w:tcPr>
        <w:p w14:paraId="5526CBA4"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AE5A79E" wp14:editId="175C3370">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4C5F27EC"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472E1DC3" wp14:editId="4F38A605">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798B5E4D"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72AD9A71"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90AE59A"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021704DD" w14:textId="77777777" w:rsidR="008E04B3" w:rsidRPr="008F170F" w:rsidRDefault="005E725B"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48224370" w14:textId="77777777" w:rsidR="008E04B3" w:rsidRPr="008F170F" w:rsidRDefault="008E04B3" w:rsidP="00572A17">
          <w:pPr>
            <w:pStyle w:val="Contedodatabela"/>
            <w:ind w:left="-79"/>
            <w:rPr>
              <w:rFonts w:cs="Times New Roman"/>
            </w:rPr>
          </w:pPr>
        </w:p>
      </w:tc>
    </w:tr>
  </w:tbl>
  <w:p w14:paraId="47348E5F" w14:textId="77777777" w:rsidR="008E04B3" w:rsidRDefault="008E04B3" w:rsidP="00572A17">
    <w:pPr>
      <w:pStyle w:val="Cabealho"/>
      <w:pBdr>
        <w:bottom w:val="single" w:sz="12" w:space="1" w:color="auto"/>
      </w:pBdr>
    </w:pPr>
  </w:p>
  <w:p w14:paraId="4646B26B"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82568"/>
    <w:rsid w:val="000C2AA8"/>
    <w:rsid w:val="000F7D23"/>
    <w:rsid w:val="00170E58"/>
    <w:rsid w:val="001C73AF"/>
    <w:rsid w:val="001D12DE"/>
    <w:rsid w:val="002067E9"/>
    <w:rsid w:val="002307C0"/>
    <w:rsid w:val="00234E3F"/>
    <w:rsid w:val="00256A8B"/>
    <w:rsid w:val="00265B1A"/>
    <w:rsid w:val="00273609"/>
    <w:rsid w:val="00291605"/>
    <w:rsid w:val="00296B30"/>
    <w:rsid w:val="002E3AB8"/>
    <w:rsid w:val="00310CED"/>
    <w:rsid w:val="00314F35"/>
    <w:rsid w:val="003510F6"/>
    <w:rsid w:val="003974C7"/>
    <w:rsid w:val="003C180D"/>
    <w:rsid w:val="003C1AB1"/>
    <w:rsid w:val="003D599E"/>
    <w:rsid w:val="003E3F4C"/>
    <w:rsid w:val="004126CB"/>
    <w:rsid w:val="00421636"/>
    <w:rsid w:val="004622F5"/>
    <w:rsid w:val="0049780B"/>
    <w:rsid w:val="004A4051"/>
    <w:rsid w:val="004F5D08"/>
    <w:rsid w:val="00533532"/>
    <w:rsid w:val="00572A17"/>
    <w:rsid w:val="00584034"/>
    <w:rsid w:val="005961D0"/>
    <w:rsid w:val="005E725B"/>
    <w:rsid w:val="0068091C"/>
    <w:rsid w:val="006F7F4D"/>
    <w:rsid w:val="007027B5"/>
    <w:rsid w:val="00770F5F"/>
    <w:rsid w:val="00772C5B"/>
    <w:rsid w:val="007A5982"/>
    <w:rsid w:val="007A6772"/>
    <w:rsid w:val="007B71B0"/>
    <w:rsid w:val="007D4CBD"/>
    <w:rsid w:val="00854A9C"/>
    <w:rsid w:val="00876222"/>
    <w:rsid w:val="00876B22"/>
    <w:rsid w:val="008E04B3"/>
    <w:rsid w:val="008E12E4"/>
    <w:rsid w:val="00900151"/>
    <w:rsid w:val="00922E5D"/>
    <w:rsid w:val="00956B3E"/>
    <w:rsid w:val="00966958"/>
    <w:rsid w:val="009A2667"/>
    <w:rsid w:val="009F19ED"/>
    <w:rsid w:val="00A05F41"/>
    <w:rsid w:val="00AE7993"/>
    <w:rsid w:val="00B043CE"/>
    <w:rsid w:val="00B63C3B"/>
    <w:rsid w:val="00B674A3"/>
    <w:rsid w:val="00B75828"/>
    <w:rsid w:val="00B777C4"/>
    <w:rsid w:val="00BF5F05"/>
    <w:rsid w:val="00C223E1"/>
    <w:rsid w:val="00C238E6"/>
    <w:rsid w:val="00C371C9"/>
    <w:rsid w:val="00C41329"/>
    <w:rsid w:val="00C9128B"/>
    <w:rsid w:val="00CC7810"/>
    <w:rsid w:val="00CE1DD4"/>
    <w:rsid w:val="00CE2748"/>
    <w:rsid w:val="00CE519A"/>
    <w:rsid w:val="00D10E0A"/>
    <w:rsid w:val="00D75474"/>
    <w:rsid w:val="00DB2058"/>
    <w:rsid w:val="00E57B80"/>
    <w:rsid w:val="00E61541"/>
    <w:rsid w:val="00E6228B"/>
    <w:rsid w:val="00E74FC0"/>
    <w:rsid w:val="00EB22AF"/>
    <w:rsid w:val="00EF72B4"/>
    <w:rsid w:val="00F07CCF"/>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915CF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6.png"/></Relationships>
</file>

<file path=word/_rels/header2.xml.rels><?xml version="1.0" encoding="UTF-8"?><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2075</Words>
  <Characters>11206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6</cp:revision>
  <dcterms:created xsi:type="dcterms:W3CDTF">2026-06-05T15:16:00Z</dcterms:created>
  <dcterms:modified xsi:type="dcterms:W3CDTF">2026-06-18T10:34:00Z</dcterms:modified>
</cp:coreProperties>
</file>