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400"/>
        <w:rPr/>
      </w:pPr>
      <w:r>
        <w:rPr/>
      </w:r>
    </w:p>
    <w:p>
      <w:pPr>
        <w:pStyle w:val="Normal1"/>
        <w:spacing w:lineRule="auto" w:line="240" w:before="0" w:after="60"/>
        <w:rPr/>
      </w:pPr>
      <w:r>
        <w:rPr>
          <w:rFonts w:eastAsia="Arial" w:cs="Arial"/>
          <w:b/>
          <w:bCs/>
          <w:color w:val="1B3A6B"/>
          <w:sz w:val="52"/>
          <w:szCs w:val="52"/>
        </w:rPr>
        <w:t>Fleet Telemetry Platform</w:t>
      </w:r>
    </w:p>
    <w:p>
      <w:pPr>
        <w:pStyle w:val="Normal1"/>
        <w:spacing w:lineRule="auto" w:line="240" w:before="0" w:after="60"/>
        <w:rPr/>
      </w:pPr>
      <w:r>
        <w:rPr>
          <w:rFonts w:eastAsia="Arial" w:cs="Arial"/>
          <w:color w:val="2563EB"/>
          <w:sz w:val="26"/>
          <w:szCs w:val="26"/>
        </w:rPr>
        <w:t>Technical Architecture Document</w:t>
      </w:r>
    </w:p>
    <w:p>
      <w:pPr>
        <w:pStyle w:val="Normal1"/>
        <w:pBdr>
          <w:bottom w:val="single" w:sz="4" w:space="14" w:color="2563EB"/>
        </w:pBdr>
        <w:spacing w:lineRule="auto" w:line="240" w:before="0" w:after="240"/>
        <w:rPr/>
      </w:pPr>
      <w:r>
        <w:rPr/>
      </w:r>
    </w:p>
    <w:p>
      <w:pPr>
        <w:pStyle w:val="Normal1"/>
        <w:spacing w:lineRule="auto" w:line="240" w:before="0" w:after="120"/>
        <w:rPr/>
      </w:pPr>
      <w:r>
        <w:rPr/>
      </w:r>
    </w:p>
    <w:p>
      <w:pPr>
        <w:pStyle w:val="Normal1"/>
        <w:spacing w:lineRule="auto" w:line="240" w:before="0" w:after="50"/>
        <w:rPr/>
      </w:pPr>
      <w:r>
        <w:rPr>
          <w:rFonts w:eastAsia="Arial" w:cs="Arial"/>
          <w:b/>
          <w:bCs/>
          <w:color w:val="374151"/>
          <w:sz w:val="21"/>
          <w:szCs w:val="21"/>
        </w:rPr>
        <w:t xml:space="preserve">Version  </w:t>
      </w:r>
      <w:r>
        <w:rPr>
          <w:rFonts w:eastAsia="Arial" w:cs="Arial"/>
          <w:color w:val="6B7280"/>
          <w:sz w:val="21"/>
          <w:szCs w:val="21"/>
        </w:rPr>
        <w:t>Draft</w:t>
      </w:r>
    </w:p>
    <w:p>
      <w:pPr>
        <w:pStyle w:val="Normal1"/>
        <w:spacing w:lineRule="auto" w:line="240" w:before="0" w:after="50"/>
        <w:rPr/>
      </w:pPr>
      <w:r>
        <w:rPr>
          <w:rFonts w:eastAsia="Arial" w:cs="Arial"/>
          <w:b/>
          <w:bCs/>
          <w:color w:val="374151"/>
          <w:sz w:val="21"/>
          <w:szCs w:val="21"/>
        </w:rPr>
        <w:t xml:space="preserve">Client  </w:t>
      </w:r>
      <w:r>
        <w:rPr>
          <w:rFonts w:eastAsia="Arial" w:cs="Arial"/>
          <w:color w:val="6B7280"/>
          <w:sz w:val="21"/>
          <w:szCs w:val="21"/>
        </w:rPr>
        <w:t>Mobily Fleet Operations</w:t>
      </w:r>
    </w:p>
    <w:p>
      <w:pPr>
        <w:pStyle w:val="Normal1"/>
        <w:spacing w:lineRule="auto" w:line="240" w:before="0" w:after="50"/>
        <w:rPr/>
      </w:pPr>
      <w:r>
        <w:rPr>
          <w:rFonts w:eastAsia="Arial" w:cs="Arial"/>
          <w:b/>
          <w:bCs/>
          <w:color w:val="374151"/>
          <w:sz w:val="21"/>
          <w:szCs w:val="21"/>
        </w:rPr>
        <w:t xml:space="preserve">Date  </w:t>
      </w:r>
      <w:r>
        <w:rPr>
          <w:rFonts w:eastAsia="Arial" w:cs="Arial"/>
          <w:color w:val="6B7280"/>
          <w:sz w:val="21"/>
          <w:szCs w:val="21"/>
        </w:rPr>
        <w:t>March 2026</w:t>
      </w:r>
    </w:p>
    <w:p>
      <w:pPr>
        <w:pStyle w:val="Normal1"/>
        <w:spacing w:lineRule="auto" w:line="240" w:before="0" w:after="300"/>
        <w:rPr/>
      </w:pPr>
      <w:r>
        <w:rPr>
          <w:b/>
          <w:bCs/>
        </w:rPr>
        <w:t>Prepared By</w:t>
      </w:r>
      <w:r>
        <w:rPr/>
        <w:t xml:space="preserve"> Mohamed Ilyes Arfaoui</w:t>
      </w:r>
    </w:p>
    <w:p>
      <w:pPr>
        <w:pStyle w:val="Normal1"/>
        <w:spacing w:lineRule="auto" w:line="240" w:before="0" w:after="300"/>
        <w:rPr/>
      </w:pPr>
      <w:r>
        <w:rPr/>
      </w:r>
    </w:p>
    <w:p>
      <w:pPr>
        <w:pStyle w:val="Normal1"/>
        <w:spacing w:lineRule="auto" w:line="240" w:before="0" w:after="300"/>
        <w:rPr/>
      </w:pPr>
      <w:r>
        <w:rPr/>
      </w:r>
    </w:p>
    <w:p>
      <w:pPr>
        <w:pStyle w:val="Normal1"/>
        <w:spacing w:lineRule="auto" w:line="240" w:before="0" w:after="300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2799"/>
        <w:gridCol w:w="1601"/>
        <w:gridCol w:w="4960"/>
      </w:tblGrid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Systems Architect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Technical lead, architecture design, API contracts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Software Engineer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Ingestion library, pipeline, Odoo module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Security Engineer (Red)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Penetration testing, threat modeling, audit, vulnerability research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Security Engineer (Blue)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Transport controls, network segmentation, cert rotation, remediation, incident response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Embedded Systems Engineer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Firmware, device config, hardware eval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Cloud Engineer</w:t>
            </w:r>
          </w:p>
        </w:tc>
        <w:tc>
          <w:tcPr>
            <w:tcW w:w="16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Infrastructure, deployment, scaling</w:t>
            </w:r>
          </w:p>
        </w:tc>
      </w:tr>
    </w:tbl>
    <w:p>
      <w:pPr>
        <w:pStyle w:val="Normal1"/>
        <w:spacing w:lineRule="auto" w:line="240" w:before="240" w:after="80"/>
        <w:jc w:val="center"/>
        <w:rPr>
          <w:b/>
          <w:b/>
          <w:bCs/>
          <w:color w:val="374151"/>
          <w:sz w:val="22"/>
          <w:szCs w:val="22"/>
        </w:rPr>
      </w:pPr>
      <w:r>
        <w:rPr>
          <w:b/>
          <w:bCs/>
          <w:color w:val="374151"/>
          <w:sz w:val="22"/>
          <w:szCs w:val="22"/>
        </w:rPr>
      </w:r>
    </w:p>
    <w:p>
      <w:pPr>
        <w:pStyle w:val="Normal1"/>
        <w:spacing w:lineRule="auto" w:line="240" w:before="240" w:after="80"/>
        <w:jc w:val="center"/>
        <w:rPr>
          <w:b/>
          <w:b/>
          <w:bCs/>
          <w:color w:val="374151"/>
          <w:sz w:val="22"/>
          <w:szCs w:val="22"/>
        </w:rPr>
      </w:pPr>
      <w:r>
        <w:rPr>
          <w:b/>
          <w:bCs/>
          <w:color w:val="374151"/>
          <w:sz w:val="22"/>
          <w:szCs w:val="22"/>
        </w:rPr>
      </w:r>
    </w:p>
    <w:p>
      <w:pPr>
        <w:pStyle w:val="Normal1"/>
        <w:spacing w:lineRule="auto" w:line="240" w:before="240" w:after="80"/>
        <w:jc w:val="center"/>
        <w:rPr>
          <w:b/>
          <w:b/>
          <w:bCs/>
          <w:color w:val="374151"/>
          <w:sz w:val="22"/>
          <w:szCs w:val="22"/>
        </w:rPr>
      </w:pPr>
      <w:r>
        <w:rPr>
          <w:b/>
          <w:bCs/>
          <w:color w:val="374151"/>
          <w:sz w:val="22"/>
          <w:szCs w:val="22"/>
        </w:rPr>
      </w:r>
    </w:p>
    <w:p>
      <w:pPr>
        <w:pStyle w:val="Normal1"/>
        <w:spacing w:lineRule="auto" w:line="240" w:before="240" w:after="80"/>
        <w:jc w:val="center"/>
        <w:rPr>
          <w:b/>
          <w:b/>
          <w:bCs/>
          <w:color w:val="374151"/>
          <w:sz w:val="22"/>
          <w:szCs w:val="22"/>
        </w:rPr>
      </w:pPr>
      <w:r>
        <w:rPr>
          <w:b/>
          <w:bCs/>
          <w:color w:val="374151"/>
          <w:sz w:val="22"/>
          <w:szCs w:val="22"/>
        </w:rPr>
      </w:r>
    </w:p>
    <w:p>
      <w:pPr>
        <w:pStyle w:val="Normal1"/>
        <w:spacing w:lineRule="auto" w:line="240" w:before="240" w:after="80"/>
        <w:jc w:val="center"/>
        <w:rPr>
          <w:b/>
          <w:b/>
          <w:bCs/>
          <w:color w:val="374151"/>
          <w:sz w:val="22"/>
          <w:szCs w:val="22"/>
        </w:rPr>
      </w:pPr>
      <w:r>
        <w:rPr>
          <w:b/>
          <w:bCs/>
          <w:color w:val="374151"/>
          <w:sz w:val="22"/>
          <w:szCs w:val="22"/>
        </w:rPr>
      </w:r>
    </w:p>
    <w:p>
      <w:pPr>
        <w:pStyle w:val="Normal1"/>
        <w:spacing w:lineRule="auto" w:line="240" w:before="240" w:after="80"/>
        <w:jc w:val="center"/>
        <w:rPr>
          <w:b/>
          <w:b/>
          <w:bCs/>
          <w:color w:val="374151"/>
          <w:sz w:val="22"/>
          <w:szCs w:val="22"/>
        </w:rPr>
      </w:pPr>
      <w:r>
        <w:rPr>
          <w:b/>
          <w:bCs/>
          <w:color w:val="374151"/>
          <w:sz w:val="22"/>
          <w:szCs w:val="22"/>
        </w:rPr>
      </w:r>
    </w:p>
    <w:p>
      <w:pPr>
        <w:pStyle w:val="Normal1"/>
        <w:spacing w:lineRule="auto" w:line="240" w:before="240" w:after="80"/>
        <w:jc w:val="center"/>
        <w:rPr/>
      </w:pPr>
      <w:r>
        <w:rPr>
          <w:b/>
          <w:bCs/>
          <w:color w:val="374151"/>
          <w:sz w:val="22"/>
          <w:szCs w:val="22"/>
        </w:rPr>
        <w:t>Full System Architecture</w:t>
      </w:r>
    </w:p>
    <w:p>
      <w:pPr>
        <w:pStyle w:val="Normal1"/>
        <w:spacing w:lineRule="auto" w:line="240" w:before="80" w:after="240"/>
        <w:jc w:val="center"/>
        <w:rPr/>
      </w:pPr>
      <w:r>
        <w:rPr/>
      </w:r>
    </w:p>
    <w:p>
      <w:pPr>
        <w:pStyle w:val="Normal1"/>
        <w:spacing w:lineRule="auto" w:line="240" w:before="160" w:after="240"/>
        <w:jc w:val="center"/>
        <w:rPr/>
      </w:pPr>
      <w:r>
        <w:rPr/>
        <w:drawing>
          <wp:inline distT="0" distB="0" distL="0" distR="0">
            <wp:extent cx="5943600" cy="7330440"/>
            <wp:effectExtent l="0" t="0" r="0" b="0"/>
            <wp:docPr id="1" name="ArchDiagramV7" descr="Fleet Telemetry Platform Architecture 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DiagramV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1. System Overview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The platform is a closed-network, five-layer telemetry system connecting Teltonika vehicle devices to a native Odoo Fleet module. Each layer has a single owner, a defined interface, and no knowledge of the layers above or below its own interface contract. Phase 1 (prototype) uses the FMC003. Production deployment will use the FMC650 with the All-CAN300 CAN data adapter.</w:t>
      </w:r>
    </w:p>
    <w:p>
      <w:pPr>
        <w:pStyle w:val="Normal1"/>
        <w:spacing w:lineRule="auto" w:line="240" w:before="0" w:after="80"/>
        <w:rPr/>
      </w:pPr>
      <w:r>
        <w:rPr/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900"/>
        <w:gridCol w:w="1600"/>
        <w:gridCol w:w="4560"/>
        <w:gridCol w:w="2299"/>
      </w:tblGrid>
      <w:tr>
        <w:trPr/>
        <w:tc>
          <w:tcPr>
            <w:tcW w:w="9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2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>
        <w:trPr/>
        <w:tc>
          <w:tcPr>
            <w:tcW w:w="9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L1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Device</w:t>
            </w:r>
          </w:p>
        </w:tc>
        <w:tc>
          <w:tcPr>
            <w:tcW w:w="4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FMC003 firmware, telemetry capture, offline buffer (Phase 1); FMC650 + All-CAN300 (production)</w:t>
            </w:r>
          </w:p>
        </w:tc>
        <w:tc>
          <w:tcPr>
            <w:tcW w:w="22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Embedded Engineer</w:t>
            </w:r>
          </w:p>
        </w:tc>
      </w:tr>
      <w:tr>
        <w:trPr/>
        <w:tc>
          <w:tcPr>
            <w:tcW w:w="9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L2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Transport</w:t>
            </w:r>
          </w:p>
        </w:tc>
        <w:tc>
          <w:tcPr>
            <w:tcW w:w="4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Custom TCP server + TLS 1.3, mTLS device auth, internal network</w:t>
            </w:r>
          </w:p>
        </w:tc>
        <w:tc>
          <w:tcPr>
            <w:tcW w:w="22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Security Engineer (Blue)</w:t>
            </w:r>
          </w:p>
        </w:tc>
      </w:tr>
      <w:tr>
        <w:trPr/>
        <w:tc>
          <w:tcPr>
            <w:tcW w:w="9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L3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Ingestion</w:t>
            </w:r>
          </w:p>
        </w:tc>
        <w:tc>
          <w:tcPr>
            <w:tcW w:w="4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Custom C ingestion library, codec 8/8E/16 decoder, device session management, NATS JetStream, event normalization</w:t>
            </w:r>
          </w:p>
        </w:tc>
        <w:tc>
          <w:tcPr>
            <w:tcW w:w="22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Software Engineer</w:t>
            </w:r>
            <w:r>
              <w:rPr>
                <w:color w:val="374151"/>
                <w:sz w:val="20"/>
                <w:szCs w:val="20"/>
              </w:rPr>
              <w:t xml:space="preserve"> + Systems Architect</w:t>
            </w:r>
          </w:p>
        </w:tc>
      </w:tr>
      <w:tr>
        <w:trPr/>
        <w:tc>
          <w:tcPr>
            <w:tcW w:w="9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L4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Processing</w:t>
            </w:r>
          </w:p>
        </w:tc>
        <w:tc>
          <w:tcPr>
            <w:tcW w:w="4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Business logic, alerting, TimescaleDB, REST API</w:t>
            </w:r>
          </w:p>
        </w:tc>
        <w:tc>
          <w:tcPr>
            <w:tcW w:w="22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color w:val="374151"/>
                <w:sz w:val="20"/>
                <w:szCs w:val="20"/>
              </w:rPr>
              <w:t xml:space="preserve">Software Engineer + </w:t>
            </w: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Systems Architect</w:t>
            </w:r>
          </w:p>
        </w:tc>
      </w:tr>
      <w:tr>
        <w:trPr/>
        <w:tc>
          <w:tcPr>
            <w:tcW w:w="9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L5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Presentation</w:t>
            </w:r>
          </w:p>
        </w:tc>
        <w:tc>
          <w:tcPr>
            <w:tcW w:w="4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Odoo Fleet module, WebSocket push, read-only views</w:t>
            </w:r>
          </w:p>
        </w:tc>
        <w:tc>
          <w:tcPr>
            <w:tcW w:w="22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Software Engineer + Cloud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Fleet size: 20,000 vehicles. Estimated message volume at 30-second reporting interval: 40,000 messages/minute at steady state, ~667 msg/sec peak.</w:t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2. Stack &amp; Technology Choices</w:t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2.1 Device — Teltonika FMC003 (Phase 1) / FMC650 + All-CAN300 (Production)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The FMC003 is a GNSS/GSM tracker supporting the Teltonika codec 8/8E/16 protocol over TCP. It is used for the Phase 1 prototype deployment. Key capabilities used in this platform: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GNSS positioning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GPS, GLONASS, BEIDOU — lat/lng, altitude, accuracy radius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CAN bus reader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speed, RPM, fuel level, engine load, odometer via OBD-II/CAN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I/O events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ignition on/off, door sensors, driver ID via iButton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Records on Stop (RoS)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onboard flash buffer — stores records during signal loss, flushes on reconnect. Configured via Teltonika Configurator, no custom firmware required.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/>
          <w:bCs/>
          <w:color w:val="374151"/>
          <w:sz w:val="21"/>
          <w:szCs w:val="21"/>
        </w:rPr>
        <w:t>Production device (Phase 2+): Teltonika FMC650 + All-CAN300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color w:val="374151"/>
          <w:sz w:val="21"/>
          <w:szCs w:val="21"/>
        </w:rPr>
        <w:t>The FMC650 replaces the FMC003 for production. It supports CAN-FD and provides a dedicated CANbus interface, removing the dependency on OBD-II adapters for deep vehicle data. The All-CAN300 CAN data adapter connects inline on the vehicle CANbus, exposing full FMS/CAN-FD telemetry — fuel consumption, engine hours, axle load, and driver behaviour events — beyond the OBD-II subset available on the FMC003. Codec compatibility (8/8E/16) and the Teltonika Configurator provisioning workflow are preserved across both devices; no changes to the L2–L5 stack are required for the transition.</w:t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2.2 Transport — Custom TCP Server + TLS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The transport layer is a purpose-built TCP server with TLS 1.3 termination and mTLS device authentication. The FMC003 and FMC650 connect directly over raw TCP using the Teltonika binary codec — no MQTT broker is involved. The server is implemented as an async I/O daemon capable of maintaining 20,000 persistent connections on a single EC2 instance.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Protocol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Raw binary TCP over port 8883, TLS-wrapped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TLS version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1.3 minimum enforced at server level. No TLS 1.2 fallback.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Device auth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Mutual TLS (mTLS) — unique client certificate per device (FMC003 or FMC650) provisioned at device configuration time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Connection handling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Per-connection IMEI handshake on connect. Persistent TCP session for the device lifetime. Heartbeat timeout and dead-connection reaping handled by the server.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2.3 Ingestion — Custom C Library + NATS JetStream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We will be implementing a custom, single purpose-built C library. The library accepts decoded payloads directly from the TCP ingestion server, decodes the Teltonika binary payload in-process, manages device session state, normalizes to the event schema, and publishes to NATS JetStream — all in one process with no intermediate hop.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The library is structured as four modules: TCP connection handler (raw socket ingestion, TLS handshake, IMEI session binding), codec 8/8E/16 decoder (pure bit manipulation, covers AVL IDs, extended IO, buffered record framing), device session manager (online/offline state per IMEI, last-seen timestamp, reconnect handling), and NATS publisher (nats.c client). Total estimated size: 1,500–2,500 lines. Deployed as a single statically-linked binary in a minimal container.</w:t>
      </w:r>
    </w:p>
    <w:p>
      <w:pPr>
        <w:pStyle w:val="Normal1"/>
        <w:spacing w:lineRule="auto" w:line="240" w:before="0" w:after="60"/>
        <w:rPr/>
      </w:pPr>
      <w:r>
        <w:rPr/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NATS JetStream is chosen over heavier brokers (Kafka, RabbitMQ) based on fleet scale. At 667 msg/sec, a single NATS server handles the load with significant headroom. JetStream persistence provides durable delivery without a cluster.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Subject structure 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0" w:after="30"/>
        <w:ind w:left="1080" w:right="0" w:hanging="3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6B7280"/>
          <w:position w:val="0"/>
          <w:sz w:val="20"/>
          <w:sz w:val="20"/>
          <w:szCs w:val="20"/>
          <w:u w:val="none"/>
          <w:shd w:fill="auto" w:val="clear"/>
          <w:vertAlign w:val="baseline"/>
        </w:rPr>
        <w:t>telemetry.raw.{device_id} — one subject per device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0" w:after="30"/>
        <w:ind w:left="1080" w:right="0" w:hanging="3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6B7280"/>
          <w:position w:val="0"/>
          <w:sz w:val="20"/>
          <w:sz w:val="20"/>
          <w:szCs w:val="20"/>
          <w:u w:val="none"/>
          <w:shd w:fill="auto" w:val="clear"/>
          <w:vertAlign w:val="baseline"/>
        </w:rPr>
        <w:t>telemetry.events.{type} — typed event streams (ignition, geofence, alert)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Retention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24-hour sliding window on raw stream. Processed data persists in TimescaleDB.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Consumer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L4 processing service subscribes as a push consumer with ack-based delivery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2.4 Processing — PostgreSQL + TimescaleDB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L4 is a Node.js service that consumes from NATS, applies business logic, writes to the database, and exposes a REST API to L5.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Database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PostgreSQL 16 with TimescaleDB extension — telemetry data stored as a hypertable partitioned by time and device_id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Retention policy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Raw telemetry: 90 days. Aggregated hourly summaries: 2 years.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Alerting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Rule engine evaluated per-event — speed threshold, geofence breach, ignition anomaly. Alerts written to a separate table and pushed via WebSocket.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REST API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Internal only. Consumed by Odoo module. JSON over HTTP/HTTPS. No public endpoint.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2.5 Presentation — Odoo Fleet Module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A native Odoo 17 module extending the Fleet app. No separate frontend. Data is pulled via REST API from L4 and pushed in real time via WebSocket for live map updates.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Views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Fleet list with last-known position, speed, fuel. Per-vehicle telemetry timeline. Alert inbox.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Real-time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WebSocket connection from Odoo client to L4 — pushes position updates every 30 seconds per active vehicle on screen.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Access control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Odoo native groups — Fleet Manager, Fleet User, Read-Only. No telemetry data exposed outside Odoo roles.</w:t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3. Data Flow &amp; Event Schema</w:t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3.1 End-to-End Flow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1. The vehicle device (FMC003 in Phase 1; FMC650 + All-CAN300 in production) captures a telemetry record every 30 seconds (configurable) and transmits over TCP to the ingestion server using the Teltonika binary codec.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2. The TCP ingestion server authenticates the device via mTLS, validates the IMEI on the initial handshake, and passes the raw binary payload directly to the C ingestion library in-process.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3. The C ingestion library receives the raw payload, decodes the Teltonika binary codec 8/8E/16 in-process, and updates device session state.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4. The library normalizes the decoded fields to the event schema and publishes directly to NATS JetStream on the device subject.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5.  The L4 processing service consumes the NATS message, evaluates alert rules, writes to TimescaleDB, and acknowledges the message.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6.  Odoo polls the REST API on page load and maintains a WebSocket connection for live updates.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3.2 Normalized Event Schema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All events entering NATS conform to this schema. This is the contract between L3 and L4 — C library internals do not leak past this boundary.</w:t>
      </w:r>
    </w:p>
    <w:p>
      <w:pPr>
        <w:pStyle w:val="Normal1"/>
        <w:spacing w:lineRule="auto" w:line="240" w:before="0" w:after="60"/>
        <w:rPr/>
      </w:pPr>
      <w:r>
        <w:rPr/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{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"event_id":    "uuid-v4",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"device_id":   "string  — Teltonika IMEI",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"timestamp":   "ISO 8601 UTC",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"received_at": "ISO 8601 UTC  — broker ingestion time",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"position": {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"lat":        "float",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"lng":        "float",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"altitude":   "float  — metres",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"accuracy":   "float  — metres",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"bearing":    "float  — degrees",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"speed":      "float  — km/h"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},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"telemetry": {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"ignition":   "boolean",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"fuel_level": "float  — percentage, null if not available",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"odometer":   "float  — km",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"rpm":        "integer, null if not available",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  "engine_load":"float  — percentage, null if not available"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},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"io_events":   "array  — raw I/O channel changes",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"buffered":    "boolean  — true if record was stored offline"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}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3.3 Offline Buffer Behaviour</w:t>
      </w:r>
    </w:p>
    <w:p>
      <w:pPr>
        <w:pStyle w:val="Normal1"/>
        <w:spacing w:lineRule="auto" w:line="240" w:before="60" w:after="60"/>
        <w:rPr/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olor w:val="2563EB"/>
          <w:sz w:val="19"/>
          <w:szCs w:val="19"/>
        </w:rPr>
        <w:t>buffered: true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flags any record that was stored on the device during a connectivity gap and flushed after reconnect. L4 processes these records in order by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olor w:val="2563EB"/>
          <w:sz w:val="19"/>
          <w:szCs w:val="19"/>
        </w:rPr>
        <w:t>timestamp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, not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olor w:val="2563EB"/>
          <w:sz w:val="19"/>
          <w:szCs w:val="19"/>
        </w:rPr>
        <w:t>received_at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, so historical gaps are backfilled correctly in TimescaleDB.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3.4 TimescaleDB Schema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Core hypertable — partitioned by timestamp, indexed on device_id.</w:t>
      </w:r>
    </w:p>
    <w:p>
      <w:pPr>
        <w:pStyle w:val="Normal1"/>
        <w:spacing w:lineRule="auto" w:line="240" w:before="0" w:after="40"/>
        <w:rPr/>
      </w:pPr>
      <w:r>
        <w:rPr/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CREATE TABLE telemetry (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event_id    UUID        PRIMARY KEY,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device_id   TEXT        NOT NULL,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timestamp   TIMESTAMPTZ NOT NULL,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lat         DOUBLE PRECISION,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lng         DOUBLE PRECISION,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speed       FLOAT,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fuel_level  FLOAT,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odometer    FLOAT,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ignition    BOOLEAN,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buffered    BOOLEAN     DEFAULT FALSE,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 xml:space="preserve">  payload     JSONB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);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SELECT create_hypertable('telemetry', 'timestamp');</w:t>
      </w:r>
    </w:p>
    <w:p>
      <w:pPr>
        <w:pStyle w:val="Normal1"/>
        <w:spacing w:lineRule="auto" w:line="240" w:before="40" w:after="40"/>
        <w:ind w:left="720" w:hanging="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CREATE INDEX ON telemetry (device_id, timestamp DESC);</w:t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4. Security Specification</w:t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4.1 Threat Model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The system operates entirely on an internal network. There are no public-facing endpoints. The threat surface is: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Compromised device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A stolen or cloned device (FMC003 or FMC650) attempting to inject false telemetry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Internal network breach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Lateral movement from a compromised host reaching broker or database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Privilege escalation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An Odoo user accessing telemetry outside their role scope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Data exfiltration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Bulk extraction of historical telemetry records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4.2 Controls by Layer</w:t>
      </w:r>
    </w:p>
    <w:p>
      <w:pPr>
        <w:pStyle w:val="Normal1"/>
        <w:spacing w:lineRule="auto" w:line="240" w:before="0" w:after="40"/>
        <w:rPr/>
      </w:pPr>
      <w:r>
        <w:rPr/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1799"/>
        <w:gridCol w:w="2201"/>
        <w:gridCol w:w="5360"/>
      </w:tblGrid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L1 — Device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Device identity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Unique mTLS certificate per IMEI. Certificates provisioned at configuration time via Teltonika Configurator. No shared credentials.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L2 — Transport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Encryption in transit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TLS 1.3 enforced at server level. Cipher suite: TLS_AES_256_GCM_SHA384 minimum. No TLS 1.2 fallback.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L2 — Transport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Certificate rotation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12-month cert lifetime. Rotation via server-initiated disconnect — device reconnects with new cert.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L3 — Ingestion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Network isolation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The C ingestion library and NATS run on an isolated subnet. The TCP ingestion server is the only host with inbound connectivity from devices.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L4 — Processing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Encryption at rest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TimescaleDB volume encrypted with AES-256. Managed at infrastructure level.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L4 — Processing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API auth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Internal REST API uses short-lived JWT tokens issued to Odoo module only. No external token issuance.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L4 — Processing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Audit log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Immutable append-only table logs all data reads, writes, and admin actions with actor, timestamp, and payload hash.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L5 — Presentation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Access control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Odoo native groups enforce role-scoped access. Fleet Manager: full read. Fleet User: own-vehicle only. Read-Only: no alert data.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L5 — Presentation</w:t>
            </w:r>
          </w:p>
        </w:tc>
        <w:tc>
          <w:tcPr>
            <w:tcW w:w="22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Session security</w:t>
            </w:r>
          </w:p>
        </w:tc>
        <w:tc>
          <w:tcPr>
            <w:tcW w:w="5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Odoo session tokens, standard timeout policy. No telemetry data cached client-side.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4.3 Network Segmentation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Four network segments, no cross-segment communication except where explicitly listed: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Device network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FMC003/FMC650 devices — outbound TCP/8883 to ingestion server only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Ingestion subnet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TCP ingestion server, C ingestion library, NATS — isolated, no public routes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Processing subnet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L4 service, TimescaleDB — reachable from ingestion subnet (NATS consumer) and presentation subnet (REST API)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Presentation subnet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Odoo server — outbound to L4 REST API and WebSocket only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4.4 Penetration Testing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Scheduled </w:t>
      </w:r>
      <w:r>
        <w:rPr>
          <w:color w:val="374151"/>
        </w:rPr>
        <w:t>at the end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of Phase 3. Scope: TCP server TLS/mTLS bypass, NATS subject enumeration, L4 API token forgery, Odoo privilege escalation. Report delivered before Phase 4 handoff.</w:t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5. Infrastructure &amp; Deployment</w:t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5.1 Topology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All components run on private infrastructure. </w:t>
      </w:r>
      <w:r>
        <w:rPr>
          <w:color w:val="374151"/>
        </w:rPr>
        <w:t>The cloud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provider is AWS. All compute runs on EC2 within a private VPC. No managed services with external data residency are used.</w:t>
      </w:r>
    </w:p>
    <w:p>
      <w:pPr>
        <w:pStyle w:val="Normal1"/>
        <w:spacing w:lineRule="auto" w:line="240" w:before="0" w:after="60"/>
        <w:rPr/>
      </w:pPr>
      <w:r>
        <w:rPr/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2799"/>
        <w:gridCol w:w="3200"/>
        <w:gridCol w:w="3361"/>
      </w:tblGrid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 (Phase 1)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Scaling trigger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TCP ingestion server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2 vCPU / 4 GB RAM — single node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&gt; 50k concurrent connections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 ingestion library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 vCPU / 2 GB RAM — EC2 t3.small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CPU &gt; 60% sustained or decode lag &gt; 100ms p99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NATS JetStream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2 vCPU / 4 GB RAM — single node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&gt; 5k msg/sec sustained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L4 processing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4 vCPU / 8 GB RAM — single instance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Latency p99 &gt; 500ms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TimescaleDB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8 vCPU / 32 GB RAM — single node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Disk &gt; 70% or query p99 &gt; 2st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Odoo server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4 vCPU / 16 GB RAM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Worker saturation</w:t>
            </w:r>
          </w:p>
        </w:tc>
      </w:tr>
      <w:tr>
        <w:trPr/>
        <w:tc>
          <w:tcPr>
            <w:tcW w:w="2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Monitoring (Prometheus + Grafana)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2 vCPU / 4 GB RAM — EC2 t3.medium</w:t>
            </w:r>
          </w:p>
        </w:tc>
        <w:tc>
          <w:tcPr>
            <w:tcW w:w="336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Scrape interval &gt; 60s or Grafana OOM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5.2 Infrastructure as Code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All infrastructure defined in Terraform. No manual provisioning. Modules: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network/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VPC, subnets, security groups, routing tables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compute/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VM instances, autoscaling groups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database/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TimescaleDB instance, backup schedule, encryption config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messaging/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NATS JetStream config, stream definitions, retention policies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tls/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Certificate authority config, device cert templates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5.3 CI/CD</w:t>
      </w:r>
    </w:p>
    <w:p>
      <w:pPr>
        <w:pStyle w:val="Normal1"/>
        <w:spacing w:lineRule="auto" w:line="240" w:before="60" w:after="60"/>
        <w:rPr/>
      </w:pP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olor w:val="374151"/>
          <w:sz w:val="21"/>
          <w:szCs w:val="21"/>
        </w:rPr>
        <w:t>GitHub Actions pipeline per service. Stages: lint → unit test → build container → push to private registry → deploy to staging → integration test → promote to production. No manual deploy steps after Phase 1.</w:t>
      </w:r>
    </w:p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5.4 Backup &amp; Recovery</w:t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2399"/>
        <w:gridCol w:w="3801"/>
        <w:gridCol w:w="1279"/>
        <w:gridCol w:w="1880"/>
      </w:tblGrid>
      <w:tr>
        <w:trPr/>
        <w:tc>
          <w:tcPr>
            <w:tcW w:w="23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Backup method</w:t>
            </w:r>
          </w:p>
        </w:tc>
        <w:tc>
          <w:tcPr>
            <w:tcW w:w="127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RPO</w:t>
            </w:r>
          </w:p>
        </w:tc>
        <w:tc>
          <w:tcPr>
            <w:tcW w:w="1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RTO</w:t>
            </w:r>
          </w:p>
        </w:tc>
      </w:tr>
      <w:tr>
        <w:trPr/>
        <w:tc>
          <w:tcPr>
            <w:tcW w:w="23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TimescaleDB</w:t>
            </w:r>
          </w:p>
        </w:tc>
        <w:tc>
          <w:tcPr>
            <w:tcW w:w="38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Daily snapshot + WAL streaming to object storage</w:t>
            </w:r>
          </w:p>
        </w:tc>
        <w:tc>
          <w:tcPr>
            <w:tcW w:w="127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 hour</w:t>
            </w:r>
          </w:p>
        </w:tc>
        <w:tc>
          <w:tcPr>
            <w:tcW w:w="1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2 hours</w:t>
            </w:r>
          </w:p>
        </w:tc>
      </w:tr>
      <w:tr>
        <w:trPr/>
        <w:tc>
          <w:tcPr>
            <w:tcW w:w="23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NATS JetStream</w:t>
            </w:r>
          </w:p>
        </w:tc>
        <w:tc>
          <w:tcPr>
            <w:tcW w:w="38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JetStream mirror stream on secondary node</w:t>
            </w:r>
          </w:p>
        </w:tc>
        <w:tc>
          <w:tcPr>
            <w:tcW w:w="127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0</w:t>
            </w:r>
          </w:p>
        </w:tc>
        <w:tc>
          <w:tcPr>
            <w:tcW w:w="1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&lt; 1 min</w:t>
            </w:r>
          </w:p>
        </w:tc>
      </w:tr>
      <w:tr>
        <w:trPr/>
        <w:tc>
          <w:tcPr>
            <w:tcW w:w="23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Odoo</w:t>
            </w:r>
          </w:p>
        </w:tc>
        <w:tc>
          <w:tcPr>
            <w:tcW w:w="38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Daily database snapshot</w:t>
            </w:r>
          </w:p>
        </w:tc>
        <w:tc>
          <w:tcPr>
            <w:tcW w:w="127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24 hours</w:t>
            </w:r>
          </w:p>
        </w:tc>
        <w:tc>
          <w:tcPr>
            <w:tcW w:w="1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4 hours</w:t>
            </w:r>
          </w:p>
        </w:tc>
      </w:tr>
      <w:tr>
        <w:trPr/>
        <w:tc>
          <w:tcPr>
            <w:tcW w:w="23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Config / IaC</w:t>
            </w:r>
          </w:p>
        </w:tc>
        <w:tc>
          <w:tcPr>
            <w:tcW w:w="3801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Git — all config in version control</w:t>
            </w:r>
          </w:p>
        </w:tc>
        <w:tc>
          <w:tcPr>
            <w:tcW w:w="127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0</w:t>
            </w:r>
          </w:p>
        </w:tc>
        <w:tc>
          <w:tcPr>
            <w:tcW w:w="1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&lt; 30 min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pBdr/>
        <w:spacing w:lineRule="auto" w:line="240" w:before="300" w:after="10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5.5 Observability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Metrics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Prometheus scraping all services. Grafana dashboards: message throughput, processing latency, DB query time, NATS consumer lag.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Logs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Structured JSON logs from all services. Aggregated to a central log store. Retention: 30 days.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left="720" w:right="0" w:hanging="360"/>
        <w:jc w:val="left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Alerts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1"/>
          <w:sz w:val="21"/>
          <w:szCs w:val="21"/>
          <w:u w:val="none"/>
          <w:shd w:fill="auto" w:val="clear"/>
          <w:vertAlign w:val="baseline"/>
        </w:rPr>
        <w:t>PagerDuty integration for: NATS consumer lag &gt; 10k messages, TimescaleDB replication lag &gt; 60s, L4 error rate &gt; 1%, TLS handshake failures &gt; 50/min.</w:t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Appendix A — Open Decisions</w:t>
      </w:r>
    </w:p>
    <w:p>
      <w:pPr>
        <w:pStyle w:val="Normal1"/>
        <w:spacing w:lineRule="auto" w:line="240" w:before="0" w:after="40"/>
        <w:rPr/>
      </w:pPr>
      <w:r>
        <w:rPr/>
      </w:r>
    </w:p>
    <w:tbl>
      <w:tblPr>
        <w:tblStyle w:val="Table6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2600"/>
        <w:gridCol w:w="3200"/>
        <w:gridCol w:w="1999"/>
        <w:gridCol w:w="1560"/>
      </w:tblGrid>
      <w:tr>
        <w:trPr/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19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Due</w:t>
            </w:r>
          </w:p>
        </w:tc>
      </w:tr>
      <w:tr>
        <w:trPr/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Cloud provider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Resolved: AWS</w:t>
            </w:r>
          </w:p>
        </w:tc>
        <w:tc>
          <w:tcPr>
            <w:tcW w:w="19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Cloud Engineer</w:t>
            </w:r>
          </w:p>
        </w:tc>
        <w:tc>
          <w:tcPr>
            <w:tcW w:w="1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Phase 1</w:t>
            </w:r>
          </w:p>
        </w:tc>
      </w:tr>
      <w:tr>
        <w:trPr/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MQTT broker selection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Resolved: Custom TCP server</w:t>
            </w:r>
          </w:p>
        </w:tc>
        <w:tc>
          <w:tcPr>
            <w:tcW w:w="19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Security Engineer (Blue)</w:t>
            </w:r>
          </w:p>
        </w:tc>
        <w:tc>
          <w:tcPr>
            <w:tcW w:w="1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Phase 1</w:t>
            </w:r>
          </w:p>
        </w:tc>
      </w:tr>
      <w:tr>
        <w:trPr/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Device cert CA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Self-hosted CA vs managed PKI</w:t>
            </w:r>
          </w:p>
        </w:tc>
        <w:tc>
          <w:tcPr>
            <w:tcW w:w="19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Security Engineer (Blue)</w:t>
            </w:r>
          </w:p>
        </w:tc>
        <w:tc>
          <w:tcPr>
            <w:tcW w:w="1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Phase 1</w:t>
            </w:r>
          </w:p>
        </w:tc>
      </w:tr>
      <w:tr>
        <w:trPr/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Odoo version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17 Community vs Enterprise</w:t>
            </w:r>
          </w:p>
        </w:tc>
        <w:tc>
          <w:tcPr>
            <w:tcW w:w="19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Systems Architect</w:t>
            </w:r>
          </w:p>
        </w:tc>
        <w:tc>
          <w:tcPr>
            <w:tcW w:w="1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Phase 1</w:t>
            </w:r>
          </w:p>
        </w:tc>
      </w:tr>
      <w:tr>
        <w:trPr/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Phase 4 device</w:t>
            </w:r>
          </w:p>
        </w:tc>
        <w:tc>
          <w:tcPr>
            <w:tcW w:w="3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Resolved: FMC650 + All-CAN300</w:t>
            </w:r>
          </w:p>
        </w:tc>
        <w:tc>
          <w:tcPr>
            <w:tcW w:w="19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Embedded Engineer</w:t>
            </w:r>
          </w:p>
        </w:tc>
        <w:tc>
          <w:tcPr>
            <w:tcW w:w="1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Phase 3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1"/>
        <w:pBdr>
          <w:bottom w:val="single" w:sz="4" w:space="6" w:color="2563EB"/>
        </w:pBdr>
        <w:spacing w:lineRule="auto" w:line="240" w:before="440" w:after="16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Appendix B — Glossary</w:t>
      </w:r>
    </w:p>
    <w:p>
      <w:pPr>
        <w:pStyle w:val="Normal1"/>
        <w:spacing w:lineRule="auto" w:line="240" w:before="0" w:after="40"/>
        <w:rPr/>
      </w:pPr>
      <w:r>
        <w:rPr/>
      </w:r>
    </w:p>
    <w:tbl>
      <w:tblPr>
        <w:tblStyle w:val="Table7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1799"/>
        <w:gridCol w:w="7560"/>
      </w:tblGrid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1B3A6B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CAN bus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Controller Area Network — vehicle diagnostic protocol providing speed, fuel, RPM from ECU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FMC003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Teltonika GNSS tracker used in Phase 1 prototype deployment. Supports codec 8/8E/16 over TCP, OBD-II/CAN via iButton, and Records on Stop offline buffering.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FMC650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Teltonika GNSS tracker used in production deployment. Supports CAN-FD and a dedicated CANbus interface. Codec-compatible with FMC003; no changes to L2–L5 stack required.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All-CAN300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Teltonika CAN data adapter used with the FMC650 in production. Connects inline on the vehicle CANbus to expose FMS/CAN-FD telemetry including fuel consumption, engine hours, axle load, and driver behaviour events.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Hypertable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TimescaleDB table partitioned automatically by time for efficient time-series queries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JetStream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NATS persistence layer providing durable, ordered message delivery with ack semantics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mTLS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Mutual TLS — both client and server authenticate with certificates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NATS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Lightweight open-source messaging system; JetStream is its persistence/streaming layer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RoS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3F4F6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Records on Stop — Teltonika firmware feature that buffers telemetry during connectivity loss</w:t>
            </w:r>
          </w:p>
        </w:tc>
      </w:tr>
      <w:tr>
        <w:trPr/>
        <w:tc>
          <w:tcPr>
            <w:tcW w:w="1799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C ingestion library</w:t>
            </w:r>
          </w:p>
        </w:tc>
        <w:tc>
          <w:tcPr>
            <w:tcW w:w="75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0"/>
                <w:szCs w:val="20"/>
              </w:rPr>
              <w:t>Purpose-built C library handling L3 ingestion. Accepts raw payloads from the TCP ingestion server in-process, decodes Teltonika codec 8/8E/16 binary, manages device session state (online/offline per IMEI), normalizes to the event schema, and publishes to NATS JetStream via nats.c.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sectPr>
      <w:footerReference w:type="default" r:id="rId3"/>
      <w:type w:val="nextPage"/>
      <w:pgSz w:w="12240" w:h="15840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" w:space="8" w:color="BFDBFE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6B7280"/>
        <w:sz w:val="16"/>
        <w:szCs w:val="16"/>
      </w:rPr>
      <w:t>Fleet Telemetry Platform — Technical Architecture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440" w:after="16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300" w:after="10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00" w:after="8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1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1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1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1"/>
      <w:sz w:val="21"/>
      <w:szCs w:val="21"/>
      <w:u w:val="none"/>
      <w:shd w:fill="auto" w:val="clear"/>
      <w:vertAlign w:val="baseli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10</Pages>
  <Words>2195</Words>
  <Characters>12907</Characters>
  <CharactersWithSpaces>15074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2026-03-26T13:55:45Z</dcterms:modified>
  <cp:revision>3</cp:revision>
  <dc:subject/>
  <dc:title/>
</cp:coreProperties>
</file>