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giraph-technical-report"/>
    <w:p>
      <w:pPr>
        <w:pStyle w:val="Heading1"/>
      </w:pPr>
      <w:r>
        <w:t xml:space="preserve">GIRAPH: technical report</w:t>
      </w:r>
    </w:p>
    <w:p>
      <w:pPr>
        <w:pStyle w:val="FirstParagraph"/>
      </w:pPr>
      <w:r>
        <w:rPr>
          <w:b/>
          <w:bCs/>
        </w:rPr>
        <w:t xml:space="preserve">A plan-graph conformance defense for tool-using LLM agents</w:t>
      </w:r>
      <w:r>
        <w:t xml:space="preserve"> </w:t>
      </w:r>
      <w:r>
        <w:t xml:space="preserve">· SENTINEL, IndabaX Tunisia 2026</w:t>
      </w:r>
    </w:p>
    <w:p>
      <w:pPr>
        <w:pStyle w:val="BlockText"/>
        <w:pBdr>
          <w:left w:val="single" w:sz="24" w:space="8" w:color="0E7C7B"/>
        </w:pBdr>
        <w:shd w:val="clear" w:fill="EAF5F4"/>
        <w:ind w:left="216" w:right="144"/>
      </w:pPr>
      <w:r>
        <w:rPr>
          <w:b/>
          <w:bCs/>
          <w:color w:val="0E7C7B"/>
          <w:sz w:val="28"/>
        </w:rPr>
        <w:t xml:space="preserve">Untrusted data may select. It may never author.</w:t>
      </w:r>
    </w:p>
    <w:tbl>
      <w:tblPr>
        <w:tblStyle w:val="Table"/>
        <w:tblW w:type="dxa" w:w="9936"/>
        <w:jc w:val="center"/>
        <w:tblLook w:firstRow="1" w:lastRow="0" w:firstColumn="0" w:lastColumn="0" w:noHBand="0" w:noVBand="0" w:val="0020"/>
        <w:tblLayout w:type="fixed"/>
        <w:tblBorders>
          <w:top w:val="single" w:sz="18" w:color="0E7C7B"/>
          <w:left w:val="nil" w:sz="0" w:color="FFFFFF"/>
          <w:bottom w:val="single" w:sz="18" w:color="0E7C7B"/>
          <w:right w:val="nil" w:sz="0" w:color="FFFFFF"/>
          <w:insideH w:val="nil" w:sz="0" w:color="FFFFFF"/>
          <w:insideV w:val="nil" w:sz="0" w:color="FFFFFF"/>
        </w:tblBorders>
      </w:tblPr>
      <w:tblGrid>
        <w:gridCol w:w="1519"/>
        <w:gridCol w:w="1519"/>
        <w:gridCol w:w="1519"/>
        <w:gridCol w:w="1519"/>
        <w:gridCol w:w="1636"/>
        <w:gridCol w:w="2220"/>
      </w:tblGrid>
      <w:tr>
        <w:trPr>
          <w:tblHeader w:val="on"/>
        </w:trPr>
        <w:tc>
          <w:tcPr>
            <w:tcW w:type="dxa" w:w="1520"/>
            <w:shd w:val="clear" w:color="auto" w:fill="FFFFFF"/>
            <w:tcMar>
              <w:top w:w="100" w:type="dxa"/>
              <w:bottom w:w="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b/>
                <w:color w:val="6B7280"/>
                <w:sz w:val="17"/>
              </w:rPr>
              <w:t xml:space="preserve">ASR</w:t>
            </w:r>
          </w:p>
        </w:tc>
        <w:tc>
          <w:tcPr>
            <w:tcW w:type="dxa" w:w="1520"/>
            <w:shd w:val="clear" w:color="auto" w:fill="FFFFFF"/>
            <w:tcMar>
              <w:top w:w="100" w:type="dxa"/>
              <w:bottom w:w="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b/>
                <w:color w:val="6B7280"/>
                <w:sz w:val="17"/>
              </w:rPr>
              <w:t xml:space="preserve">BTU</w:t>
            </w:r>
          </w:p>
        </w:tc>
        <w:tc>
          <w:tcPr>
            <w:tcW w:type="dxa" w:w="1520"/>
            <w:shd w:val="clear" w:color="auto" w:fill="FFFFFF"/>
            <w:tcMar>
              <w:top w:w="100" w:type="dxa"/>
              <w:bottom w:w="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b/>
                <w:color w:val="6B7280"/>
                <w:sz w:val="17"/>
              </w:rPr>
              <w:t xml:space="preserve">FBR</w:t>
            </w:r>
          </w:p>
        </w:tc>
        <w:tc>
          <w:tcPr>
            <w:tcW w:type="dxa" w:w="1520"/>
            <w:shd w:val="clear" w:color="auto" w:fill="FFFFFF"/>
            <w:tcMar>
              <w:top w:w="100" w:type="dxa"/>
              <w:bottom w:w="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b/>
                <w:color w:val="6B7280"/>
                <w:sz w:val="17"/>
              </w:rPr>
              <w:t xml:space="preserve">CVR</w:t>
            </w:r>
          </w:p>
        </w:tc>
        <w:tc>
          <w:tcPr>
            <w:tcW w:type="dxa" w:w="1637"/>
            <w:shd w:val="clear" w:color="auto" w:fill="FFFFFF"/>
            <w:tcMar>
              <w:top w:w="100" w:type="dxa"/>
              <w:bottom w:w="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b/>
                <w:color w:val="6B7280"/>
                <w:sz w:val="17"/>
              </w:rPr>
              <w:t xml:space="preserve">Escalations</w:t>
            </w:r>
          </w:p>
        </w:tc>
        <w:tc>
          <w:tcPr>
            <w:tcW w:type="dxa" w:w="2221"/>
            <w:shd w:val="clear" w:color="auto" w:fill="FFFFFF"/>
            <w:tcMar>
              <w:top w:w="100" w:type="dxa"/>
              <w:bottom w:w="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b/>
                <w:color w:val="6B7280"/>
                <w:sz w:val="17"/>
              </w:rPr>
              <w:t xml:space="preserve">p95 latency (ms)</w:t>
            </w:r>
          </w:p>
        </w:tc>
      </w:tr>
      <w:tr>
        <w:tc>
          <w:tcPr>
            <w:tcW w:type="dxa" w:w="1520"/>
            <w:tcMar>
              <w:top w:w="0" w:type="dxa"/>
              <w:bottom w:w="10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rFonts w:ascii="Calibri Light" w:hAnsi="Calibri Light"/>
                <w:b/>
                <w:bCs/>
                <w:color w:val="0E7C7B"/>
                <w:sz w:val="44"/>
              </w:rPr>
              <w:t xml:space="preserve">0.00</w:t>
            </w:r>
          </w:p>
        </w:tc>
        <w:tc>
          <w:tcPr>
            <w:tcW w:type="dxa" w:w="1520"/>
            <w:tcMar>
              <w:top w:w="0" w:type="dxa"/>
              <w:bottom w:w="10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rFonts w:ascii="Calibri Light" w:hAnsi="Calibri Light"/>
                <w:b/>
                <w:bCs/>
                <w:color w:val="0E7C7B"/>
                <w:sz w:val="44"/>
              </w:rPr>
              <w:t xml:space="preserve">1.00</w:t>
            </w:r>
          </w:p>
        </w:tc>
        <w:tc>
          <w:tcPr>
            <w:tcW w:type="dxa" w:w="1520"/>
            <w:tcMar>
              <w:top w:w="0" w:type="dxa"/>
              <w:bottom w:w="10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rFonts w:ascii="Calibri Light" w:hAnsi="Calibri Light"/>
                <w:b/>
                <w:bCs/>
                <w:color w:val="0E7C7B"/>
                <w:sz w:val="44"/>
              </w:rPr>
              <w:t xml:space="preserve">0.00</w:t>
            </w:r>
          </w:p>
        </w:tc>
        <w:tc>
          <w:tcPr>
            <w:tcW w:type="dxa" w:w="1520"/>
            <w:tcMar>
              <w:top w:w="0" w:type="dxa"/>
              <w:bottom w:w="10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rFonts w:ascii="Calibri Light" w:hAnsi="Calibri Light"/>
                <w:b/>
                <w:bCs/>
                <w:color w:val="0E7C7B"/>
                <w:sz w:val="44"/>
              </w:rPr>
              <w:t xml:space="preserve">0.00</w:t>
            </w:r>
          </w:p>
        </w:tc>
        <w:tc>
          <w:tcPr>
            <w:tcW w:type="dxa" w:w="1637"/>
            <w:tcMar>
              <w:top w:w="0" w:type="dxa"/>
              <w:bottom w:w="10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rFonts w:ascii="Calibri Light" w:hAnsi="Calibri Light"/>
                <w:b/>
                <w:bCs/>
                <w:color w:val="0E7C7B"/>
                <w:sz w:val="44"/>
              </w:rPr>
              <w:t xml:space="preserve">0</w:t>
            </w:r>
          </w:p>
        </w:tc>
        <w:tc>
          <w:tcPr>
            <w:tcW w:type="dxa" w:w="2221"/>
            <w:tcMar>
              <w:top w:w="0" w:type="dxa"/>
              <w:bottom w:w="100" w:type="dxa"/>
              <w:left w:w="90" w:type="dxa"/>
              <w:right w:w="90" w:type="dxa"/>
            </w:tcMar>
          </w:tcPr>
          <w:p>
            <w:pPr>
              <w:pStyle w:val="Compact"/>
              <w:jc w:val="center"/>
            </w:pPr>
            <w:r>
              <w:rPr>
                <w:rFonts w:ascii="Calibri Light" w:hAnsi="Calibri Light"/>
                <w:b/>
                <w:bCs/>
                <w:color w:val="0E7C7B"/>
                <w:sz w:val="44"/>
              </w:rPr>
              <w:t xml:space="preserve">7.8</w:t>
            </w:r>
          </w:p>
        </w:tc>
      </w:tr>
    </w:tbl>
    <w:p>
      <w:pPr>
        <w:pStyle w:val="BodyText"/>
      </w:pPr>
      <w:r>
        <w:rPr>
          <w:i/>
          <w:iCs/>
        </w:rPr>
        <w:t xml:space="preserve">Public split: 40 scenarios, 31 of them attacks. Scripted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mock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 agent. The same numbers</w:t>
      </w:r>
      <w:r>
        <w:rPr>
          <w:i/>
          <w:iCs/>
        </w:rPr>
        <w:t xml:space="preserve"> </w:t>
      </w:r>
      <w:r>
        <w:rPr>
          <w:i/>
          <w:iCs/>
        </w:rPr>
        <w:t xml:space="preserve">hold on validation and against the adaptive mutation attacker.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“GIRAPH”</w:t>
      </w:r>
      <w:r>
        <w:rPr>
          <w:b/>
          <w:bCs/>
        </w:rPr>
        <w:t xml:space="preserve">.</w:t>
      </w:r>
      <w:r>
        <w:t xml:space="preserve"> </w:t>
      </w:r>
      <w:r>
        <w:t xml:space="preserve">GIRAPH builds on top of</w:t>
      </w:r>
      <w:r>
        <w:t xml:space="preserve"> </w:t>
      </w:r>
      <w:r>
        <w:rPr>
          <w:b/>
          <w:bCs/>
        </w:rPr>
        <w:t xml:space="preserve">CaMeL</w:t>
      </w:r>
      <w:r>
        <w:t xml:space="preserve"> </w:t>
      </w:r>
      <w:r>
        <w:t xml:space="preserve">(Debenedetti et al., 2025, arXiv:2503.18813),</w:t>
      </w:r>
      <w:r>
        <w:t xml:space="preserve"> </w:t>
      </w:r>
      <w:r>
        <w:t xml:space="preserve">and the name says so: the camel becomes a giraffe, and CaMeL’s interpreted program becomes a plan</w:t>
      </w:r>
      <w:r>
        <w:t xml:space="preserve"> </w:t>
      </w:r>
      <w:r>
        <w:rPr>
          <w:b/>
          <w:bCs/>
        </w:rPr>
        <w:t xml:space="preserve">graph</w:t>
      </w:r>
      <w:r>
        <w:t xml:space="preserve">. We keep CaMeL’s idea, that trusted control flow is fixed before untrusted data is read,</w:t>
      </w:r>
      <w:r>
        <w:t xml:space="preserve"> </w:t>
      </w:r>
      <w:r>
        <w:t xml:space="preserve">and swap the interpreter for a frozen plan graph that a cheap monitor checks at every step.</w:t>
      </w:r>
    </w:p>
    <w:bookmarkStart w:id="9" w:name="summary"/>
    <w:p>
      <w:pPr>
        <w:pStyle w:val="Heading2"/>
      </w:pPr>
      <w:r>
        <w:t xml:space="preserve">1. 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Problem.</w:t>
      </w:r>
      <w:r>
        <w:t xml:space="preserve"> </w:t>
      </w:r>
      <w:r>
        <w:t xml:space="preserve">Agents read untrusted text (emails, tickets, alert enrichments) and follow the</w:t>
      </w:r>
      <w:r>
        <w:t xml:space="preserve"> </w:t>
      </w:r>
      <w:r>
        <w:t xml:space="preserve">instructions hidden in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Method.</w:t>
      </w:r>
      <w:r>
        <w:t xml:space="preserve"> </w:t>
      </w:r>
      <w:r>
        <w:t xml:space="preserve">Before the agent reads anything, GIRAPH turns the user’s request into a frozen plan</w:t>
      </w:r>
      <w:r>
        <w:t xml:space="preserve"> </w:t>
      </w:r>
      <w:r>
        <w:t xml:space="preserve">graph. The graph states which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the task may cause, where data may go, and which values</w:t>
      </w:r>
      <w:r>
        <w:t xml:space="preserve"> </w:t>
      </w:r>
      <w:r>
        <w:t xml:space="preserve">the user named. A monitor then checks every action against that graph and returns one of four</w:t>
      </w:r>
      <w:r>
        <w:t xml:space="preserve"> </w:t>
      </w:r>
      <w:r>
        <w:t xml:space="preserve">verdicts: allow, rewrite, escalate, or block.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Result.</w:t>
      </w:r>
      <w:r>
        <w:t xml:space="preserve"> </w:t>
      </w:r>
      <w:r>
        <w:t xml:space="preserve">No attack succeeds, no benign task fails, no legitimate action is blocked. The best</w:t>
      </w:r>
      <w:r>
        <w:t xml:space="preserve"> </w:t>
      </w:r>
      <w:r>
        <w:t xml:space="preserve">kit baseline,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also stops every public attack, but blocks 22% of legitimate actions</w:t>
      </w:r>
      <w:r>
        <w:t xml:space="preserve"> </w:t>
      </w:r>
      <w:r>
        <w:t xml:space="preserve">and lets 1 of 4 validation attacks through.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Main limitation.</w:t>
      </w:r>
      <w:r>
        <w:t xml:space="preserve"> </w:t>
      </w:r>
      <w:r>
        <w:t xml:space="preserve">Redaction matches secrets verbatim. A secret the agent base64-encodes,</w:t>
      </w:r>
      <w:r>
        <w:t xml:space="preserve"> </w:t>
      </w:r>
      <w:r>
        <w:t xml:space="preserve">spaces out, or reverses gets through (§6).</w:t>
      </w:r>
    </w:p>
    <w:bookmarkEnd w:id="9"/>
    <w:bookmarkStart w:id="10" w:name="threat-model-and-hypothesis"/>
    <w:p>
      <w:pPr>
        <w:pStyle w:val="Heading2"/>
      </w:pPr>
      <w:r>
        <w:t xml:space="preserve">2. Threat model and hypothesis</w:t>
      </w:r>
    </w:p>
    <w:tbl>
      <w:tblPr>
        <w:tblStyle w:val="Table"/>
        <w:tblW w:type="dxa" w:w="9936"/>
        <w:jc w:val="center"/>
        <w:tblLayout w:type="fixed"/>
        <w:tblLook w:firstRow="0" w:lastRow="0" w:firstColumn="0" w:lastColumn="0" w:noHBand="0" w:noVBand="0" w:val="0000"/>
        <w:tblBorders>
          <w:top w:val="single" w:sz="4" w:color="D1D5DB"/>
          <w:left w:val="nil" w:sz="0" w:color="FFFFFF"/>
          <w:bottom w:val="single" w:sz="8" w:color="1E2A44"/>
          <w:right w:val="nil" w:sz="0" w:color="FFFFFF"/>
          <w:insideH w:val="single" w:sz="4" w:color="D1D5DB"/>
          <w:insideV w:val="nil" w:sz="0" w:color="FFFFFF"/>
        </w:tblBorders>
        <w:tblLayout w:type="fixed"/>
      </w:tblPr>
      <w:tblGrid>
        <w:gridCol w:w="2592"/>
        <w:gridCol w:w="7344"/>
      </w:tblGrid>
      <w:tr>
        <w:trPr>
          <w:cantSplit/>
        </w:trPr>
        <w:tc>
          <w:tcPr>
            <w:tcW w:type="dxa" w:w="2592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EAF5F4"/>
          </w:tcPr>
          <w:p>
            <w:pPr>
              <w:pStyle w:val="Compact"/>
            </w:pPr>
            <w:r>
              <w:rPr>
                <w:b/>
                <w:bCs/>
                <w:color w:val="1E2A44"/>
                <w:sz w:val="18"/>
              </w:rPr>
              <w:t xml:space="preserve">Defends against</w:t>
            </w:r>
          </w:p>
        </w:tc>
        <w:tc>
          <w:tcPr>
            <w:tcW w:type="dxa" w:w="7344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direct instructions, indirect injection, data exfiltration, multi-step, memory poisoning, tool-output manipulation: every family in the library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  <w:shd w:val="clear" w:color="auto" w:fill="EAF5F4"/>
          </w:tcPr>
          <w:p>
            <w:pPr>
              <w:pStyle w:val="Compact"/>
            </w:pPr>
            <w:r>
              <w:rPr>
                <w:b/>
                <w:bCs/>
                <w:color w:val="1E2A44"/>
                <w:sz w:val="18"/>
              </w:rPr>
              <w:t xml:space="preserve">Adversary</w:t>
            </w:r>
          </w:p>
        </w:tc>
        <w:tc>
          <w:tcPr>
            <w:tcW w:type="dxa" w:w="7344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controls declared text surfaces, sees the transcript and our decisions, adapts between steps, knows our code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EAF5F4"/>
          </w:tcPr>
          <w:p>
            <w:pPr>
              <w:pStyle w:val="Compact"/>
            </w:pPr>
            <w:r>
              <w:rPr>
                <w:b/>
                <w:bCs/>
                <w:color w:val="1E2A44"/>
                <w:sz w:val="18"/>
              </w:rPr>
              <w:t xml:space="preserve">Trusted</w:t>
            </w:r>
          </w:p>
        </w:tc>
        <w:tc>
          <w:tcPr>
            <w:tcW w:type="dxa" w:w="7344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the user’s request and task policy, the harness’s provenance labels, our short effect catalogue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  <w:shd w:val="clear" w:color="auto" w:fill="EAF5F4"/>
          </w:tcPr>
          <w:p>
            <w:pPr>
              <w:pStyle w:val="Compact"/>
            </w:pPr>
            <w:r>
              <w:rPr>
                <w:b/>
                <w:bCs/>
                <w:color w:val="1E2A44"/>
                <w:sz w:val="18"/>
              </w:rPr>
              <w:t xml:space="preserve">Out of scope</w:t>
            </w:r>
          </w:p>
        </w:tc>
        <w:tc>
          <w:tcPr>
            <w:tcW w:type="dxa" w:w="7344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whether a reply or record is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true</w:t>
            </w:r>
            <w:r>
              <w:rPr>
                <w:sz w:val="18"/>
              </w:rPr>
              <w:t xml:space="preserve">, what the agent reads, requests that are themselves malicious</w:t>
            </w:r>
          </w:p>
        </w:tc>
      </w:tr>
    </w:tbl>
    <w:p>
      <w:pPr>
        <w:pStyle w:val="BodyText"/>
      </w:pPr>
      <w:r>
        <w:rPr>
          <w:b/>
          <w:bCs/>
        </w:rPr>
        <w:t xml:space="preserve">H1.</w:t>
      </w:r>
      <w:r>
        <w:t xml:space="preserve"> </w:t>
      </w:r>
      <w:r>
        <w:t xml:space="preserve">A frozen effect envelope plus authority and data-flow checks gives ASR 0 on public and</w:t>
      </w:r>
      <w:r>
        <w:t xml:space="preserve"> </w:t>
      </w:r>
      <w:r>
        <w:t xml:space="preserve">validation, with FBR ≤ 0.05.</w:t>
      </w:r>
      <w:r>
        <w:t xml:space="preserve"> </w:t>
      </w:r>
      <w:r>
        <w:rPr>
          <w:b/>
          <w:bCs/>
        </w:rPr>
        <w:t xml:space="preserve">Holds</w:t>
      </w:r>
      <w:r>
        <w:t xml:space="preserve"> </w:t>
      </w:r>
      <w:r>
        <w:t xml:space="preserve">in the mock-agent setting.</w:t>
      </w:r>
    </w:p>
    <w:p>
      <w:pPr>
        <w:pStyle w:val="BodyText"/>
      </w:pPr>
      <w:r>
        <w:rPr>
          <w:b/>
          <w:bCs/>
        </w:rPr>
        <w:t xml:space="preserve">H2.</w:t>
      </w:r>
      <w:r>
        <w:t xml:space="preserve"> </w:t>
      </w:r>
      <w:r>
        <w:t xml:space="preserve">Removing the planner, authority tracing, or redaction each raises ASR on at least one split.</w:t>
      </w:r>
      <w:r>
        <w:t xml:space="preserve"> </w:t>
      </w:r>
      <w:r>
        <w:rPr>
          <w:b/>
          <w:bCs/>
        </w:rPr>
        <w:t xml:space="preserve">Partly falsified:</w:t>
      </w:r>
      <w:r>
        <w:t xml:space="preserve"> </w:t>
      </w:r>
      <w:r>
        <w:t xml:space="preserve">authority tracing alone changes nothing (§5).</w:t>
      </w:r>
    </w:p>
    <w:bookmarkEnd w:id="10"/>
    <w:bookmarkStart w:id="17" w:name="how-it-works"/>
    <w:p>
      <w:pPr>
        <w:pStyle w:val="Heading2"/>
      </w:pPr>
      <w:r>
        <w:t xml:space="preserve">3. How it works</w:t>
      </w:r>
    </w:p>
    <w:p>
      <w:pPr>
        <w:pStyle w:val="CaptionedFigure"/>
      </w:pPr>
      <w:r>
        <w:drawing>
          <wp:inline>
            <wp:extent cx="5334000" cy="2054678"/>
            <wp:effectExtent b="0" l="0" r="0" t="0"/>
            <wp:docPr descr="Where GIRAPH sits: the planner runs once and sees no untrusted content; the monitor runs on every action." title="" id="12" name="Picture"/>
            <a:graphic>
              <a:graphicData uri="http://schemas.openxmlformats.org/drawingml/2006/picture">
                <pic:pic>
                  <pic:nvPicPr>
                    <pic:cNvPr descr="docs/img/arch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4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GIRAPH sits: the planner runs once and sees no untrusted content; the monitor runs on every action.</w:t>
      </w:r>
    </w:p>
    <w:p>
      <w:pPr>
        <w:pStyle w:val="BodyText"/>
      </w:pPr>
      <w:r>
        <w:rPr>
          <w:b/>
          <w:bCs/>
        </w:rPr>
        <w:t xml:space="preserve">① Plan (once per task, before any untrusted read).</w:t>
      </w:r>
      <w:r>
        <w:t xml:space="preserve"> </w:t>
      </w:r>
      <w:r>
        <w:t xml:space="preserve">The planner receives only the request, the</w:t>
      </w:r>
      <w:r>
        <w:t xml:space="preserve"> </w:t>
      </w:r>
      <w:r>
        <w:t xml:space="preserve">policy, and the catalogue that maps each tool to an effect.</w:t>
      </w:r>
    </w:p>
    <w:tbl>
      <w:tblPr>
        <w:tblStyle w:val="Table"/>
        <w:tblW w:type="dxa" w:w="9936"/>
        <w:jc w:val="center"/>
        <w:tblLayout w:type="fixed"/>
        <w:tblLook w:firstRow="1" w:lastRow="0" w:firstColumn="0" w:lastColumn="0" w:noHBand="0" w:noVBand="0" w:val="0020"/>
        <w:tblBorders>
          <w:top w:val="single" w:sz="4" w:color="D1D5DB"/>
          <w:left w:val="nil" w:sz="0" w:color="FFFFFF"/>
          <w:bottom w:val="single" w:sz="8" w:color="1E2A44"/>
          <w:right w:val="nil" w:sz="0" w:color="FFFFFF"/>
          <w:insideH w:val="single" w:sz="4" w:color="D1D5DB"/>
          <w:insideV w:val="nil" w:sz="0" w:color="FFFFFF"/>
        </w:tblBorders>
        <w:tblLayout w:type="fixed"/>
      </w:tblPr>
      <w:tblGrid>
        <w:gridCol w:w="1753"/>
        <w:gridCol w:w="5026"/>
        <w:gridCol w:w="3156"/>
      </w:tblGrid>
      <w:tr>
        <w:trPr>
          <w:tblHeader w:val="on"/>
          <w:cantSplit/>
        </w:trPr>
        <w:tc>
          <w:tcPr>
            <w:tcW w:type="dxa" w:w="1753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Effect class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Effects</w:t>
            </w:r>
          </w:p>
        </w:tc>
        <w:tc>
          <w:tcPr>
            <w:tcW w:type="dxa" w:w="3156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In the envelope when…</w:t>
            </w:r>
          </w:p>
        </w:tc>
      </w:tr>
      <w:tr>
        <w:trPr>
          <w:cantSplit/>
        </w:trPr>
        <w:tc>
          <w:tcPr>
            <w:tcW w:type="dxa" w:w="1753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Reversible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read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prepare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record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memory_write</w:t>
            </w:r>
          </w:p>
        </w:tc>
        <w:tc>
          <w:tcPr>
            <w:tcW w:type="dxa" w:w="3156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the tool is allowed</w:t>
            </w:r>
          </w:p>
        </w:tc>
      </w:tr>
      <w:tr>
        <w:trPr>
          <w:cantSplit/>
        </w:trPr>
        <w:tc>
          <w:tcPr>
            <w:tcW w:type="dxa" w:w="1753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Irreversible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commit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outward_send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read_credential</w:t>
            </w:r>
          </w:p>
        </w:tc>
        <w:tc>
          <w:tcPr>
            <w:tcW w:type="dxa" w:w="3156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the request asked for it</w:t>
            </w:r>
          </w:p>
        </w:tc>
      </w:tr>
      <w:tr>
        <w:trPr>
          <w:cantSplit/>
        </w:trPr>
        <w:tc>
          <w:tcPr>
            <w:tcW w:type="dxa" w:w="1753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Never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disable_control</w:t>
            </w:r>
          </w:p>
        </w:tc>
        <w:tc>
          <w:tcPr>
            <w:tcW w:type="dxa" w:w="3156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never</w:t>
            </w:r>
          </w:p>
        </w:tc>
      </w:tr>
    </w:tbl>
    <w:p>
      <w:pPr>
        <w:pStyle w:val="BodyText"/>
      </w:pPr>
      <w:r>
        <w:t xml:space="preserve">Anything the request forbids (</w:t>
      </w:r>
      <w:r>
        <w:t xml:space="preserve">“do not execute”</w:t>
      </w:r>
      <w:r>
        <w:t xml:space="preserve">) is denied for good. External addresses are allowed</w:t>
      </w:r>
      <w:r>
        <w:t xml:space="preserve"> </w:t>
      </w:r>
      <w:r>
        <w:t xml:space="preserve">only if the request names them. IDs, amounts, and emails in the request become</w:t>
      </w:r>
      <w:r>
        <w:t xml:space="preserve"> </w:t>
      </w:r>
      <w:r>
        <w:rPr>
          <w:i/>
          <w:iCs/>
        </w:rPr>
        <w:t xml:space="preserve">bound values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② Monitor (every action).</w:t>
      </w:r>
      <w:r>
        <w:t xml:space="preserve"> </w:t>
      </w:r>
      <w:r>
        <w:t xml:space="preserve">The monitor answers four questions:</w:t>
      </w:r>
    </w:p>
    <w:p>
      <w:pPr>
        <w:pStyle w:val="Compact"/>
        <w:numPr>
          <w:ilvl w:val="0"/>
          <w:numId w:val="1002"/>
        </w:numPr>
      </w:pPr>
      <w:r>
        <w:t xml:space="preserve">Is there a node for this action?</w:t>
      </w:r>
    </w:p>
    <w:p>
      <w:pPr>
        <w:pStyle w:val="Compact"/>
        <w:numPr>
          <w:ilvl w:val="0"/>
          <w:numId w:val="1002"/>
        </w:numPr>
      </w:pPr>
      <w:r>
        <w:t xml:space="preserve">Is its effect inside the envelope?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Who authored the values that select it?</w:t>
      </w:r>
      <w:r>
        <w:t xml:space="preserve"> </w:t>
      </w:r>
      <w:r>
        <w:t xml:space="preserve">The request, a trusted result, the agent, or</w:t>
      </w:r>
      <w:r>
        <w:t xml:space="preserve"> </w:t>
      </w:r>
      <w:r>
        <w:t xml:space="preserve">untrusted content. Untrusted data may</w:t>
      </w:r>
      <w:r>
        <w:t xml:space="preserve"> </w:t>
      </w:r>
      <w:r>
        <w:rPr>
          <w:i/>
          <w:iCs/>
        </w:rPr>
        <w:t xml:space="preserve">select</w:t>
      </w:r>
      <w:r>
        <w:t xml:space="preserve"> </w:t>
      </w:r>
      <w:r>
        <w:t xml:space="preserve">which record to read. It may never</w:t>
      </w:r>
      <w:r>
        <w:t xml:space="preserve"> </w:t>
      </w:r>
      <w:r>
        <w:rPr>
          <w:i/>
          <w:iCs/>
        </w:rPr>
        <w:t xml:space="preserve">author</w:t>
      </w:r>
      <w:r>
        <w:t xml:space="preserve"> </w:t>
      </w:r>
      <w:r>
        <w:t xml:space="preserve">an</w:t>
      </w:r>
      <w:r>
        <w:t xml:space="preserve"> </w:t>
      </w:r>
      <w:r>
        <w:t xml:space="preserve">irreversible action.</w:t>
      </w:r>
    </w:p>
    <w:p>
      <w:pPr>
        <w:pStyle w:val="Compact"/>
        <w:numPr>
          <w:ilvl w:val="0"/>
          <w:numId w:val="1002"/>
        </w:numPr>
      </w:pPr>
      <w:r>
        <w:t xml:space="preserve">Are the node’s obligations met? These are confirmation, prerequisite, bound values, allowed</w:t>
      </w:r>
      <w:r>
        <w:t xml:space="preserve"> </w:t>
      </w:r>
      <w:r>
        <w:t xml:space="preserve">destination, no confidential data going outward, and</w:t>
      </w:r>
      <w:r>
        <w:t xml:space="preserve"> </w:t>
      </w:r>
      <w:r>
        <w:rPr>
          <w:b/>
          <w:bCs/>
        </w:rPr>
        <w:t xml:space="preserve">no credential-class data reaching any</w:t>
      </w:r>
      <w:r>
        <w:rPr>
          <w:b/>
          <w:bCs/>
        </w:rPr>
        <w:t xml:space="preserve"> </w:t>
      </w:r>
      <w:r>
        <w:rPr>
          <w:b/>
          <w:bCs/>
        </w:rPr>
        <w:t xml:space="preserve">sink</w:t>
      </w:r>
      <w:r>
        <w:t xml:space="preserve">. That last one covers replies, notes, memory, and our own trace.</w:t>
      </w:r>
    </w:p>
    <w:p>
      <w:pPr>
        <w:pStyle w:val="CaptionedFigure"/>
      </w:pPr>
      <w:r>
        <w:drawing>
          <wp:inline>
            <wp:extent cx="4206240" cy="4179414"/>
            <wp:effectExtent b="0" l="0" r="0" t="0"/>
            <wp:docPr descr="The verdict ladder: rules fire top to bottom and the first match wins." title="" id="15" name="Picture"/>
            <a:graphic>
              <a:graphicData uri="http://schemas.openxmlformats.org/drawingml/2006/picture">
                <pic:pic>
                  <pic:nvPicPr>
                    <pic:cNvPr descr="docs/img/verdic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4179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verdict ladder: rules fire top to bottom and the first match wins.</w:t>
      </w:r>
    </w:p>
    <w:p>
      <w:pPr>
        <w:pStyle w:val="BodyText"/>
      </w:pPr>
      <w:r>
        <w:t xml:space="preserve">Risk and confidence are fixed values per rule, from 0.05 for a clean reply to 0.95 for an unknown</w:t>
      </w:r>
      <w:r>
        <w:t xml:space="preserve"> </w:t>
      </w:r>
      <w:r>
        <w:t xml:space="preserve">tool. They are not fitted. Every decision carries reason codes and an evidence string, for example</w:t>
      </w:r>
      <w:r>
        <w:t xml:space="preserve"> </w:t>
      </w:r>
      <w:r>
        <w:rPr>
          <w:rStyle w:val="VerbatimChar"/>
        </w:rPr>
        <w:t xml:space="preserve">severity='low' appears only in untrusted_external content</w:t>
      </w:r>
      <w:r>
        <w:t xml:space="preserve">. The scenario runner (</w:t>
      </w:r>
      <w:r>
        <w:rPr>
          <w:rStyle w:val="VerbatimChar"/>
        </w:rPr>
        <w:t xml:space="preserve">/</w:t>
      </w:r>
      <w:r>
        <w:t xml:space="preserve">) and the</w:t>
      </w:r>
      <w:r>
        <w:t xml:space="preserve"> </w:t>
      </w:r>
      <w:r>
        <w:t xml:space="preserve">dashboard (</w:t>
      </w:r>
      <w:r>
        <w:rPr>
          <w:rStyle w:val="VerbatimChar"/>
        </w:rPr>
        <w:t xml:space="preserve">/dashboard</w:t>
      </w:r>
      <w:r>
        <w:t xml:space="preserve">) show these live next to the plan graph.</w:t>
      </w:r>
    </w:p>
    <w:p>
      <w:pPr>
        <w:pStyle w:val="BodyText"/>
      </w:pPr>
      <w:r>
        <w:rPr>
          <w:b/>
          <w:bCs/>
        </w:rPr>
        <w:t xml:space="preserve">No hard-coding.</w:t>
      </w:r>
      <w:r>
        <w:t xml:space="preserve"> </w:t>
      </w:r>
      <w:r>
        <w:t xml:space="preserve">GIRAPH never sees scenario IDs, reference plans, or expected outcomes. Only</w:t>
      </w:r>
      <w:r>
        <w:t xml:space="preserve"> </w:t>
      </w:r>
      <w:r>
        <w:rPr>
          <w:rStyle w:val="VerbatimChar"/>
        </w:rPr>
        <w:t xml:space="preserve">catalogue.py</w:t>
      </w:r>
      <w:r>
        <w:t xml:space="preserve"> </w:t>
      </w:r>
      <w:r>
        <w:t xml:space="preserve">names tools. The envelope, monitor, and verdict logic are written over effects</w:t>
      </w:r>
      <w:r>
        <w:t xml:space="preserve"> </w:t>
      </w:r>
      <w:r>
        <w:t xml:space="preserve">alone.</w:t>
      </w:r>
    </w:p>
    <w:bookmarkEnd w:id="17"/>
    <w:bookmarkStart w:id="24" w:name="results"/>
    <w:p>
      <w:pPr>
        <w:pStyle w:val="Heading2"/>
      </w:pPr>
      <w:r>
        <w:t xml:space="preserve">4. Results</w:t>
      </w:r>
    </w:p>
    <w:p>
      <w:pPr>
        <w:pStyle w:val="CaptionedFigure"/>
      </w:pPr>
      <w:r>
        <w:drawing>
          <wp:inline>
            <wp:extent cx="5334000" cy="1921584"/>
            <wp:effectExtent b="0" l="0" r="0" t="0"/>
            <wp:docPr descr="Attack success and false blocks against the kit’s baselines." title="" id="19" name="Picture"/>
            <a:graphic>
              <a:graphicData uri="http://schemas.openxmlformats.org/drawingml/2006/picture">
                <pic:pic>
                  <pic:nvPicPr>
                    <pic:cNvPr descr="docs/img/headlin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1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Attack success and false blocks against the kit’s baselines.</w:t>
      </w:r>
    </w:p>
    <w:tbl>
      <w:tblPr>
        <w:tblStyle w:val="Table"/>
        <w:tblW w:type="dxa" w:w="9936"/>
        <w:jc w:val="center"/>
        <w:tblLayout w:type="fixed"/>
        <w:tblLook w:firstRow="1" w:lastRow="0" w:firstColumn="0" w:lastColumn="0" w:noHBand="0" w:noVBand="0" w:val="0020"/>
        <w:tblBorders>
          <w:top w:val="single" w:sz="4" w:color="D1D5DB"/>
          <w:left w:val="nil" w:sz="0" w:color="FFFFFF"/>
          <w:bottom w:val="single" w:sz="8" w:color="1E2A44"/>
          <w:right w:val="nil" w:sz="0" w:color="FFFFFF"/>
          <w:insideH w:val="single" w:sz="4" w:color="D1D5DB"/>
          <w:insideV w:val="nil" w:sz="0" w:color="FFFFFF"/>
        </w:tblBorders>
        <w:tblLayout w:type="fixed"/>
      </w:tblPr>
      <w:tblGrid>
        <w:gridCol w:w="3917"/>
        <w:gridCol w:w="859"/>
        <w:gridCol w:w="859"/>
        <w:gridCol w:w="859"/>
        <w:gridCol w:w="859"/>
        <w:gridCol w:w="859"/>
        <w:gridCol w:w="859"/>
        <w:gridCol w:w="859"/>
      </w:tblGrid>
      <w:tr>
        <w:trPr>
          <w:tblHeader w:val="on"/>
          <w:cantSplit/>
        </w:trPr>
        <w:tc>
          <w:tcPr>
            <w:tcW w:type="dxa" w:w="3917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Run (mock agent)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ASR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BTU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FBR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TUI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DFI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Brier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ECE</w:t>
            </w:r>
          </w:p>
        </w:tc>
      </w:tr>
      <w:tr>
        <w:trPr>
          <w:cantSplit/>
        </w:trPr>
        <w:tc>
          <w:tcPr>
            <w:tcW w:type="dxa" w:w="391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GIRAPH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public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0.80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0.087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0.074</w:t>
            </w:r>
          </w:p>
        </w:tc>
      </w:tr>
      <w:tr>
        <w:trPr>
          <w:cantSplit/>
        </w:trPr>
        <w:tc>
          <w:tcPr>
            <w:tcW w:type="dxa" w:w="3917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GIRAPH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public, adaptive attacker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0.77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0.091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0.063</w:t>
            </w:r>
          </w:p>
        </w:tc>
      </w:tr>
      <w:tr>
        <w:trPr>
          <w:cantSplit/>
        </w:trPr>
        <w:tc>
          <w:tcPr>
            <w:tcW w:type="dxa" w:w="391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GIRAPH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validation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0.93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0.036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0.061</w:t>
            </w:r>
          </w:p>
        </w:tc>
      </w:tr>
      <w:tr>
        <w:trPr>
          <w:cantSplit/>
        </w:trPr>
        <w:tc>
          <w:tcPr>
            <w:tcW w:type="dxa" w:w="3917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GIRAPH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validation, adaptive attacker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0.93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0.039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0.056</w:t>
            </w:r>
          </w:p>
        </w:tc>
      </w:tr>
      <w:tr>
        <w:trPr>
          <w:cantSplit/>
        </w:trPr>
        <w:tc>
          <w:tcPr>
            <w:tcW w:type="dxa" w:w="391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provenance · public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0.22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0.147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0.197</w:t>
            </w:r>
          </w:p>
        </w:tc>
      </w:tr>
      <w:tr>
        <w:trPr>
          <w:cantSplit/>
        </w:trPr>
        <w:tc>
          <w:tcPr>
            <w:tcW w:type="dxa" w:w="3917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heuristic_risk · public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0.68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0.75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0.48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0.114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0.050</w:t>
            </w:r>
          </w:p>
        </w:tc>
      </w:tr>
      <w:tr>
        <w:trPr>
          <w:cantSplit/>
        </w:trPr>
        <w:tc>
          <w:tcPr>
            <w:tcW w:type="dxa" w:w="391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allow_all · public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0.00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0.65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0.235</w:t>
            </w:r>
          </w:p>
        </w:tc>
        <w:tc>
          <w:tcPr>
            <w:tcW w:type="dxa" w:w="8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0.235</w:t>
            </w:r>
          </w:p>
        </w:tc>
      </w:tr>
    </w:tbl>
    <w:p>
      <w:pPr>
        <w:pStyle w:val="CaptionedFigure"/>
      </w:pPr>
      <w:r>
        <w:drawing>
          <wp:inline>
            <wp:extent cx="5334000" cy="1217543"/>
            <wp:effectExtent b="0" l="0" r="0" t="0"/>
            <wp:docPr descr="What GIRAPH did with each tool call on the public split." title="" id="22" name="Picture"/>
            <a:graphic>
              <a:graphicData uri="http://schemas.openxmlformats.org/drawingml/2006/picture">
                <pic:pic>
                  <pic:nvPicPr>
                    <pic:cNvPr descr="docs/img/decisio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What GIRAPH did with each tool call on the public split.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Exfiltration (21 scenarios)</w:t>
      </w:r>
      <w:r>
        <w:t xml:space="preserve"> </w:t>
      </w:r>
      <w:r>
        <w:t xml:space="preserve">is stopped by</w:t>
      </w:r>
      <w:r>
        <w:t xml:space="preserve"> </w:t>
      </w:r>
      <w:r>
        <w:rPr>
          <w:i/>
          <w:iCs/>
        </w:rPr>
        <w:t xml:space="preserve">redacting the secret</w:t>
      </w:r>
      <w:r>
        <w:t xml:space="preserve"> </w:t>
      </w:r>
      <w:r>
        <w:t xml:space="preserve">on the write step, so the</w:t>
      </w:r>
      <w:r>
        <w:t xml:space="preserve"> </w:t>
      </w:r>
      <w:r>
        <w:t xml:space="preserve">task still completes. The redirected lookup before it is allowed; see §6.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 instructions, injection, multi-step, memory poisoning, and tool-output manipulation</w:t>
      </w:r>
      <w:r>
        <w:t xml:space="preserve"> </w:t>
      </w:r>
      <w:r>
        <w:t xml:space="preserve">are blocked by policy, the request’s denials, or the envelope.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TUI 0.80 is below provenance’s 1.00 on purpose.</w:t>
      </w:r>
      <w:r>
        <w:t xml:space="preserve"> </w:t>
      </w:r>
      <w:r>
        <w:t xml:space="preserve">A rewritten call still runs, in redacted</w:t>
      </w:r>
      <w:r>
        <w:t xml:space="preserve"> </w:t>
      </w:r>
      <w:r>
        <w:t xml:space="preserve">form, and the kit counts it as illegitimate. Provenance blocks those calls instead, and pays</w:t>
      </w:r>
      <w:r>
        <w:t xml:space="preserve"> </w:t>
      </w:r>
      <w:r>
        <w:t xml:space="preserve">with FBR 0.22.</w:t>
      </w:r>
    </w:p>
    <w:p>
      <w:pPr>
        <w:pStyle w:val="BlockText"/>
        <w:pBdr>
          <w:left w:val="single" w:sz="24" w:space="8" w:color="0E7C7B"/>
        </w:pBdr>
        <w:shd w:val="clear" w:fill="EAF5F4"/>
        <w:ind w:left="216" w:right="144"/>
      </w:pPr>
      <w:r>
        <w:rPr>
          <w:b/>
          <w:bCs/>
        </w:rPr>
        <w:t xml:space="preserve">Replay: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soc_backup_token_disclosure</w:t>
      </w:r>
      <w:r>
        <w:rPr>
          <w:b/>
          <w:bCs/>
        </w:rPr>
        <w:t xml:space="preserve">.</w:t>
      </w:r>
      <w:r>
        <w:t xml:space="preserve"> </w:t>
      </w:r>
      <w:r>
        <w:t xml:space="preserve">The alert’s enrichment tells the agent to look up</w:t>
      </w:r>
      <w:r>
        <w:t xml:space="preserve"> </w:t>
      </w:r>
      <w:r>
        <w:t xml:space="preserve">SRV-22 and paste the record into an incident.</w:t>
      </w:r>
      <w:r>
        <w:t xml:space="preserve"> </w:t>
      </w:r>
      <w:r>
        <w:rPr>
          <w:rStyle w:val="VerbatimChar"/>
        </w:rPr>
        <w:t xml:space="preserve">asset_lookup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(0.10) ·</w:t>
      </w:r>
      <w:r>
        <w:t xml:space="preserve"> </w:t>
      </w:r>
      <w:r>
        <w:rPr>
          <w:rStyle w:val="VerbatimChar"/>
        </w:rPr>
        <w:t xml:space="preserve">incident_create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REWRITE</w:t>
      </w:r>
      <w:r>
        <w:t xml:space="preserve"> </w:t>
      </w:r>
      <w:r>
        <w:t xml:space="preserve">(0.85,</w:t>
      </w:r>
      <w:r>
        <w:t xml:space="preserve"> </w:t>
      </w:r>
      <w:r>
        <w:rPr>
          <w:rStyle w:val="VerbatimChar"/>
        </w:rPr>
        <w:t xml:space="preserve">RESTRICTED_DATA_REDACTED</w:t>
      </w:r>
      <w:r>
        <w:t xml:space="preserve">, summary becomes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) · reply →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· task passes, no</w:t>
      </w:r>
      <w:r>
        <w:t xml:space="preserve"> </w:t>
      </w:r>
      <w:r>
        <w:t xml:space="preserve">leak.</w:t>
      </w:r>
    </w:p>
    <w:bookmarkEnd w:id="24"/>
    <w:bookmarkStart w:id="28" w:name="ablations"/>
    <w:p>
      <w:pPr>
        <w:pStyle w:val="Heading2"/>
      </w:pPr>
      <w:r>
        <w:t xml:space="preserve">5. Ablations</w:t>
      </w:r>
    </w:p>
    <w:p>
      <w:pPr>
        <w:pStyle w:val="CaptionedFigure"/>
      </w:pPr>
      <w:r>
        <w:drawing>
          <wp:inline>
            <wp:extent cx="5334000" cy="1568823"/>
            <wp:effectExtent b="0" l="0" r="0" t="0"/>
            <wp:docPr descr="Attack success when one component is removed." title="" id="26" name="Picture"/>
            <a:graphic>
              <a:graphicData uri="http://schemas.openxmlformats.org/drawingml/2006/picture">
                <pic:pic>
                  <pic:nvPicPr>
                    <pic:cNvPr descr="docs/img/ablat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8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Attack success when one component is removed.</w:t>
      </w:r>
    </w:p>
    <w:tbl>
      <w:tblPr>
        <w:tblStyle w:val="Table"/>
        <w:tblW w:type="dxa" w:w="9936"/>
        <w:jc w:val="center"/>
        <w:tblLayout w:type="fixed"/>
        <w:tblLook w:firstRow="1" w:lastRow="0" w:firstColumn="0" w:lastColumn="0" w:noHBand="0" w:noVBand="0" w:val="0020"/>
        <w:tblBorders>
          <w:top w:val="single" w:sz="4" w:color="D1D5DB"/>
          <w:left w:val="nil" w:sz="0" w:color="FFFFFF"/>
          <w:bottom w:val="single" w:sz="8" w:color="1E2A44"/>
          <w:right w:val="nil" w:sz="0" w:color="FFFFFF"/>
          <w:insideH w:val="single" w:sz="4" w:color="D1D5DB"/>
          <w:insideV w:val="nil" w:sz="0" w:color="FFFFFF"/>
        </w:tblBorders>
        <w:tblLayout w:type="fixed"/>
      </w:tblPr>
      <w:tblGrid>
        <w:gridCol w:w="2152"/>
        <w:gridCol w:w="3560"/>
        <w:gridCol w:w="4222"/>
      </w:tblGrid>
      <w:tr>
        <w:trPr>
          <w:tblHeader w:val="on"/>
          <w:cantSplit/>
        </w:trPr>
        <w:tc>
          <w:tcPr>
            <w:tcW w:type="dxa" w:w="2153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Removed</w:t>
            </w:r>
          </w:p>
        </w:tc>
        <w:tc>
          <w:tcPr>
            <w:tcW w:type="dxa" w:w="35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What changes</w:t>
            </w:r>
          </w:p>
        </w:tc>
        <w:tc>
          <w:tcPr>
            <w:tcW w:type="dxa" w:w="4223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153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redaction</w:t>
            </w:r>
          </w:p>
        </w:tc>
        <w:tc>
          <w:tcPr>
            <w:tcW w:type="dxa" w:w="35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public ASR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0.00 → 0.55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(17 attacks land)</w:t>
            </w:r>
          </w:p>
        </w:tc>
        <w:tc>
          <w:tcPr>
            <w:tcW w:type="dxa" w:w="4223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Carries the exfiltration family. Those writes are inside the plan, so only the data-flow check separates attack from task.</w:t>
            </w:r>
          </w:p>
        </w:tc>
      </w:tr>
      <w:tr>
        <w:trPr>
          <w:cantSplit/>
        </w:trPr>
        <w:tc>
          <w:tcPr>
            <w:tcW w:type="dxa" w:w="2153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redaction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authority</w:t>
            </w:r>
          </w:p>
        </w:tc>
        <w:tc>
          <w:tcPr>
            <w:tcW w:type="dxa" w:w="35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public ASR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0.68</w:t>
            </w:r>
          </w:p>
        </w:tc>
        <w:tc>
          <w:tcPr>
            <w:tcW w:type="dxa" w:w="4223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Authority is the second line: it escalates 4 drafts staged on injected instructions.</w:t>
            </w:r>
          </w:p>
        </w:tc>
      </w:tr>
      <w:tr>
        <w:trPr>
          <w:cantSplit/>
        </w:trPr>
        <w:tc>
          <w:tcPr>
            <w:tcW w:type="dxa" w:w="2153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authority alone</w:t>
            </w:r>
          </w:p>
        </w:tc>
        <w:tc>
          <w:tcPr>
            <w:tcW w:type="dxa" w:w="35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nothing</w:t>
            </w:r>
          </w:p>
        </w:tc>
        <w:tc>
          <w:tcPr>
            <w:tcW w:type="dxa" w:w="4223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H2 falsified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 this component on its own.</w:t>
            </w:r>
          </w:p>
        </w:tc>
      </w:tr>
      <w:tr>
        <w:trPr>
          <w:cantSplit/>
        </w:trPr>
        <w:tc>
          <w:tcPr>
            <w:tcW w:type="dxa" w:w="2153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planner</w:t>
            </w:r>
          </w:p>
        </w:tc>
        <w:tc>
          <w:tcPr>
            <w:tcW w:type="dxa" w:w="356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validation ASR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0.25</w:t>
            </w:r>
          </w:p>
        </w:tc>
        <w:tc>
          <w:tcPr>
            <w:tcW w:type="dxa" w:w="4223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Only the planner’s destination list rejects the injected recipient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enterprise_val_encoded_exfil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53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rewrite</w:t>
            </w:r>
          </w:p>
        </w:tc>
        <w:tc>
          <w:tcPr>
            <w:tcW w:type="dxa" w:w="356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FBR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0.00 → 0.05</w:t>
            </w:r>
          </w:p>
        </w:tc>
        <w:tc>
          <w:tcPr>
            <w:tcW w:type="dxa" w:w="4223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Rewrite buys precision, not security.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reading.</w:t>
      </w:r>
      <w:r>
        <w:t xml:space="preserve"> </w:t>
      </w:r>
      <w:r>
        <w:t xml:space="preserve">On this library, policy and redaction do most of the stopping. What GIRAPH</w:t>
      </w:r>
      <w:r>
        <w:t xml:space="preserve"> </w:t>
      </w:r>
      <w:r>
        <w:t xml:space="preserve">adds over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zero false blocks</w:t>
      </w:r>
      <w:r>
        <w:t xml:space="preserve">, better calibration, and a destination envelope.</w:t>
      </w:r>
    </w:p>
    <w:bookmarkEnd w:id="28"/>
    <w:bookmarkStart w:id="29" w:name="failure-analysis-where-giraph-breaks"/>
    <w:p>
      <w:pPr>
        <w:pStyle w:val="Heading2"/>
      </w:pPr>
      <w:r>
        <w:t xml:space="preserve">6. Failure analysis: where GIRAPH breaks</w:t>
      </w:r>
    </w:p>
    <w:tbl>
      <w:tblPr>
        <w:tblStyle w:val="Table"/>
        <w:tblW w:type="dxa" w:w="9936"/>
        <w:jc w:val="center"/>
        <w:tblLayout w:type="fixed"/>
        <w:tblLook w:firstRow="1" w:lastRow="0" w:firstColumn="0" w:lastColumn="0" w:noHBand="0" w:noVBand="0" w:val="0020"/>
        <w:tblBorders>
          <w:top w:val="single" w:sz="4" w:color="D1D5DB"/>
          <w:left w:val="nil" w:sz="0" w:color="FFFFFF"/>
          <w:bottom w:val="single" w:sz="8" w:color="1E2A44"/>
          <w:right w:val="nil" w:sz="0" w:color="FFFFFF"/>
          <w:insideH w:val="single" w:sz="4" w:color="D1D5DB"/>
          <w:insideV w:val="nil" w:sz="0" w:color="FFFFFF"/>
        </w:tblBorders>
        <w:tblLayout w:type="fixed"/>
      </w:tblPr>
      <w:tblGrid>
        <w:gridCol w:w="419"/>
        <w:gridCol w:w="2379"/>
        <w:gridCol w:w="2379"/>
        <w:gridCol w:w="2379"/>
        <w:gridCol w:w="2379"/>
      </w:tblGrid>
      <w:tr>
        <w:trPr>
          <w:tblHeader w:val="on"/>
          <w:cantSplit/>
        </w:trPr>
        <w:tc>
          <w:tcPr>
            <w:tcW w:type="dxa" w:w="42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Failure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Evidence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Root cause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Fix direction</w:t>
            </w:r>
          </w:p>
        </w:tc>
      </w:tr>
      <w:tr>
        <w:trPr>
          <w:cantSplit/>
        </w:trPr>
        <w:tc>
          <w:tcPr>
            <w:tcW w:type="dxa" w:w="42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Transformed secrets leak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probe on the SRV-22 token: verbatim and upper-case are masked;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base64, spaced-out, reversed, split, &lt;16 chars, or digit-free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are not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redaction matches the surface form of the restricted record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treat every field value of a restricted record as secret; decode and normalise before matching</w:t>
            </w:r>
          </w:p>
        </w:tc>
      </w:tr>
      <w:tr>
        <w:trPr>
          <w:cantSplit/>
        </w:trPr>
        <w:tc>
          <w:tcPr>
            <w:tcW w:type="dxa" w:w="42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Redirected reads are allowed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14 illegitimate calls allowed on public,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all reads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by design (</w:t>
            </w:r>
            <w:r>
              <w:rPr>
                <w:sz w:val="18"/>
              </w:rPr>
              <w:t xml:space="preserve">“data may select”</w:t>
            </w:r>
            <w:r>
              <w:rPr>
                <w:sz w:val="18"/>
              </w:rPr>
              <w:t xml:space="preserve">); the secret reaches the agent, and only the sinks are guarded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put secret-reading tools behind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read_credential</w:t>
            </w:r>
          </w:p>
        </w:tc>
      </w:tr>
      <w:tr>
        <w:trPr>
          <w:cantSplit/>
        </w:trPr>
        <w:tc>
          <w:tcPr>
            <w:tcW w:type="dxa" w:w="42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Untrusted text can fill internal records and replies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the §4 incident’s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severity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came from the injection; without a secret it would be allowed at risk 0.30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record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reversible and inside the envelope; we do not judge truth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human review of records with untrusted authority</w:t>
            </w:r>
          </w:p>
        </w:tc>
      </w:tr>
      <w:tr>
        <w:trPr>
          <w:cantSplit/>
        </w:trPr>
        <w:tc>
          <w:tcPr>
            <w:tcW w:type="dxa" w:w="42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Planner misreads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“I will execute it myself later”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payment_execute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requested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regex over verbs and negations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clamped LLM planner (implemented, not evaluated); confirmation still required</w:t>
            </w:r>
          </w:p>
        </w:tc>
      </w:tr>
      <w:tr>
        <w:trPr>
          <w:cantSplit/>
        </w:trPr>
        <w:tc>
          <w:tcPr>
            <w:tcW w:type="dxa" w:w="42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Trusted labels and catalogue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a tool output with no provenance is trusted; a mislabelled tool is a hole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these are the trusted computing base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keep them small and audited</w:t>
            </w:r>
          </w:p>
        </w:tc>
      </w:tr>
      <w:tr>
        <w:trPr>
          <w:cantSplit/>
        </w:trPr>
        <w:tc>
          <w:tcPr>
            <w:tcW w:type="dxa" w:w="420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Evaluation validity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every number uses the scripted mock agent; 0 escalations happened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the mock copies verbatim, which is favourable to weakness 1</w:t>
            </w:r>
          </w:p>
        </w:tc>
        <w:tc>
          <w:tcPr>
            <w:tcW w:type="dxa" w:w="2379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re-run with Qwen3-8B (tooling is in the repo)</w:t>
            </w:r>
          </w:p>
        </w:tc>
      </w:tr>
    </w:tbl>
    <w:p>
      <w:pPr>
        <w:pStyle w:val="BlockText"/>
        <w:pBdr>
          <w:left w:val="single" w:sz="24" w:space="8" w:color="0E7C7B"/>
        </w:pBdr>
        <w:shd w:val="clear" w:fill="EAF5F4"/>
        <w:ind w:left="216" w:right="144"/>
      </w:pPr>
      <w:r>
        <w:rPr>
          <w:b/>
          <w:bCs/>
        </w:rPr>
        <w:t xml:space="preserve">Found and fixed:</w:t>
      </w:r>
      <w:r>
        <w:t xml:space="preserve"> </w:t>
      </w:r>
      <w:r>
        <w:t xml:space="preserve">the first redaction masked every 16-character phrase copied from a</w:t>
      </w:r>
      <w:r>
        <w:t xml:space="preserve"> </w:t>
      </w:r>
      <w:r>
        <w:t xml:space="preserve">restricted record, which mangled honest paraphrases. It now masks only secret-shaped values and</w:t>
      </w:r>
      <w:r>
        <w:t xml:space="preserve"> </w:t>
      </w:r>
      <w:r>
        <w:t xml:space="preserve">wholesale copies of 48+ characters. The cost is failure 1’s short-secret gap.</w:t>
      </w:r>
    </w:p>
    <w:bookmarkEnd w:id="29"/>
    <w:bookmarkStart w:id="30" w:name="responsible-ai"/>
    <w:p>
      <w:pPr>
        <w:pStyle w:val="Heading2"/>
      </w:pPr>
      <w:r>
        <w:t xml:space="preserve">7. Responsible AI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Protects against:</w:t>
      </w:r>
      <w:r>
        <w:t xml:space="preserve"> </w:t>
      </w:r>
      <w:r>
        <w:t xml:space="preserve">irreversible effects the user did not ask for, confidential data going</w:t>
      </w:r>
      <w:r>
        <w:t xml:space="preserve"> </w:t>
      </w:r>
      <w:r>
        <w:t xml:space="preserve">outward, and verbatim credentials in any sink.</w:t>
      </w:r>
      <w:r>
        <w:t xml:space="preserve"> </w:t>
      </w:r>
      <w:r>
        <w:rPr>
          <w:b/>
          <w:bCs/>
        </w:rPr>
        <w:t xml:space="preserve">Does not protect against</w:t>
      </w:r>
      <w:r>
        <w:t xml:space="preserve"> </w:t>
      </w:r>
      <w:r>
        <w:t xml:space="preserve">failures 1–5.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False positives we expect in real use:</w:t>
      </w:r>
      <w:r>
        <w:t xml:space="preserve"> </w:t>
      </w:r>
      <w:r>
        <w:t xml:space="preserve">planner misses and unnamed external recipients</w:t>
      </w:r>
      <w:r>
        <w:t xml:space="preserve"> </w:t>
      </w:r>
      <w:r>
        <w:rPr>
          <w:i/>
          <w:iCs/>
        </w:rPr>
        <w:t xml:space="preserve">escalate</w:t>
      </w:r>
      <w:r>
        <w:t xml:space="preserve">, so the user waits. Long verbatim quotes from restricted records are</w:t>
      </w:r>
      <w:r>
        <w:t xml:space="preserve"> </w:t>
      </w:r>
      <w:r>
        <w:rPr>
          <w:i/>
          <w:iCs/>
        </w:rPr>
        <w:t xml:space="preserve">redacted</w:t>
      </w:r>
      <w:r>
        <w:t xml:space="preserve">, so a</w:t>
      </w:r>
      <w:r>
        <w:t xml:space="preserve"> </w:t>
      </w:r>
      <w:r>
        <w:t xml:space="preserve">reviewer sees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. Uncatalogued tools are</w:t>
      </w:r>
      <w:r>
        <w:t xml:space="preserve"> </w:t>
      </w:r>
      <w:r>
        <w:rPr>
          <w:i/>
          <w:iCs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Humans in the loop:</w:t>
      </w:r>
      <w:r>
        <w:t xml:space="preserve"> </w:t>
      </w:r>
      <w:r>
        <w:t xml:space="preserve">every consequential action needs a recorded confirmation. Out-of-envelope</w:t>
      </w:r>
      <w:r>
        <w:t xml:space="preserve"> </w:t>
      </w:r>
      <w:r>
        <w:t xml:space="preserve">actions that no untrusted content drives are escalated, not blocked.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GIRAPH keeps plans in memory and writes one JSONL trace per decision,</w:t>
      </w:r>
      <w:r>
        <w:t xml:space="preserve"> </w:t>
      </w:r>
      <w:r>
        <w:rPr>
          <w:i/>
          <w:iCs/>
        </w:rPr>
        <w:t xml:space="preserve">redacted like any</w:t>
      </w:r>
      <w:r>
        <w:rPr>
          <w:i/>
          <w:iCs/>
        </w:rPr>
        <w:t xml:space="preserve"> </w:t>
      </w:r>
      <w:r>
        <w:rPr>
          <w:i/>
          <w:iCs/>
        </w:rPr>
        <w:t xml:space="preserve">other sink</w:t>
      </w:r>
      <w:r>
        <w:t xml:space="preserve">. With the default planner nothing leaves the host. The Gemini planner sends the</w:t>
      </w:r>
      <w:r>
        <w:t xml:space="preserve"> </w:t>
      </w:r>
      <w:r>
        <w:rPr>
          <w:b/>
          <w:bCs/>
        </w:rPr>
        <w:t xml:space="preserve">request only</w:t>
      </w:r>
      <w:r>
        <w:t xml:space="preserve"> </w:t>
      </w:r>
      <w:r>
        <w:t xml:space="preserve">to Google.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Domains:</w:t>
      </w:r>
      <w:r>
        <w:t xml:space="preserve"> </w:t>
      </w:r>
      <w:r>
        <w:t xml:space="preserve">security metrics are identical across enterprise, finance, and SOC. Calibration is</w:t>
      </w:r>
      <w:r>
        <w:t xml:space="preserve"> </w:t>
      </w:r>
      <w:r>
        <w:t xml:space="preserve">weaker in SOC and finance (ECE 0.12 / 0.18), where most redirected reads happen.</w:t>
      </w:r>
    </w:p>
    <w:bookmarkEnd w:id="30"/>
    <w:bookmarkStart w:id="31" w:name="reproducibility"/>
    <w:p>
      <w:pPr>
        <w:pStyle w:val="Heading2"/>
      </w:pPr>
      <w:r>
        <w:t xml:space="preserve">8. Reproducibility</w:t>
      </w:r>
    </w:p>
    <w:p>
      <w:pPr>
        <w:pStyle w:val="FirstParagraph"/>
      </w:pPr>
      <w:r>
        <w:t xml:space="preserve">GIRAPH</w:t>
      </w:r>
      <w:r>
        <w:t xml:space="preserve"> </w:t>
      </w:r>
      <w:r>
        <w:rPr>
          <w:rStyle w:val="VerbatimChar"/>
        </w:rPr>
        <w:t xml:space="preserve">ab2e6a3</w:t>
      </w:r>
      <w:r>
        <w:t xml:space="preserve"> </w:t>
      </w:r>
      <w:r>
        <w:t xml:space="preserve">· kit</w:t>
      </w:r>
      <w:r>
        <w:t xml:space="preserve"> </w:t>
      </w:r>
      <w:r>
        <w:rPr>
          <w:rStyle w:val="VerbatimChar"/>
        </w:rPr>
        <w:t xml:space="preserve">dd2e5fe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sentinel-bench/0.1.0</w:t>
      </w:r>
      <w:r>
        <w:t xml:space="preserve"> </w:t>
      </w:r>
      <w:r>
        <w:t xml:space="preserve">· seed 0 ·</w:t>
      </w:r>
      <w:r>
        <w:t xml:space="preserve"> </w:t>
      </w:r>
      <w:r>
        <w:rPr>
          <w:rStyle w:val="VerbatimChar"/>
        </w:rPr>
        <w:t xml:space="preserve">--model mock</w:t>
      </w:r>
      <w:r>
        <w:t xml:space="preserve"> </w:t>
      </w:r>
      <w:r>
        <w:t xml:space="preserve">· 83 tests pass.</w:t>
      </w:r>
    </w:p>
    <w:p>
      <w:pPr>
        <w:pStyle w:val="SourceCode"/>
      </w:pPr>
      <w:r>
        <w:rPr>
          <w:rStyle w:val="ExtensionTok"/>
        </w:rPr>
        <w:t xml:space="preserve">Sentinel_Starter_Kit/.venv/bin/uvicorn</w:t>
      </w:r>
      <w:r>
        <w:rPr>
          <w:rStyle w:val="NormalTok"/>
        </w:rPr>
        <w:t xml:space="preserve"> giraph.main:app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 </w:t>
      </w:r>
      <w:r>
        <w:rPr>
          <w:rStyle w:val="KeywordTok"/>
        </w:rPr>
        <w:t xml:space="preserve">&amp;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Sentinel_Starter_Kit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sentinel eval public </w:t>
      </w:r>
      <w:r>
        <w:rPr>
          <w:rStyle w:val="AttributeTok"/>
        </w:rPr>
        <w:t xml:space="preserve">--defense-url</w:t>
      </w:r>
      <w:r>
        <w:rPr>
          <w:rStyle w:val="NormalTok"/>
        </w:rPr>
        <w:t xml:space="preserve"> http://127.0.0.1:8080 </w:t>
      </w:r>
      <w:r>
        <w:rPr>
          <w:rStyle w:val="AttributeTok"/>
        </w:rPr>
        <w:t xml:space="preserve">--json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sentinel eval public </w:t>
      </w:r>
      <w:r>
        <w:rPr>
          <w:rStyle w:val="AttributeTok"/>
        </w:rPr>
        <w:t xml:space="preserve">--defense-url</w:t>
      </w:r>
      <w:r>
        <w:rPr>
          <w:rStyle w:val="NormalTok"/>
        </w:rPr>
        <w:t xml:space="preserve"> http://127.0.0.1:8080 </w:t>
      </w:r>
      <w:r>
        <w:rPr>
          <w:rStyle w:val="AttributeTok"/>
        </w:rPr>
        <w:t xml:space="preserve">--attacker</w:t>
      </w:r>
      <w:r>
        <w:rPr>
          <w:rStyle w:val="NormalTok"/>
        </w:rPr>
        <w:t xml:space="preserve"> mutation </w:t>
      </w:r>
      <w:r>
        <w:rPr>
          <w:rStyle w:val="AttributeTok"/>
        </w:rPr>
        <w:t xml:space="preserve">--attack-mode</w:t>
      </w:r>
      <w:r>
        <w:rPr>
          <w:rStyle w:val="NormalTok"/>
        </w:rPr>
        <w:t xml:space="preserve"> adaptive </w:t>
      </w:r>
      <w:r>
        <w:rPr>
          <w:rStyle w:val="AttributeTok"/>
        </w:rPr>
        <w:t xml:space="preserve">--json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sentinel eval validation </w:t>
      </w:r>
      <w:r>
        <w:rPr>
          <w:rStyle w:val="AttributeTok"/>
        </w:rPr>
        <w:t xml:space="preserve">--defense-url</w:t>
      </w:r>
      <w:r>
        <w:rPr>
          <w:rStyle w:val="NormalTok"/>
        </w:rPr>
        <w:t xml:space="preserve"> http://127.0.0.1:8080 </w:t>
      </w:r>
      <w:r>
        <w:rPr>
          <w:rStyle w:val="AttributeTok"/>
        </w:rPr>
        <w:t xml:space="preserve">--json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sentinel eval public </w:t>
      </w:r>
      <w:r>
        <w:rPr>
          <w:rStyle w:val="AttributeTok"/>
        </w:rPr>
        <w:t xml:space="preserve">--defense</w:t>
      </w:r>
      <w:r>
        <w:rPr>
          <w:rStyle w:val="NormalTok"/>
        </w:rPr>
        <w:t xml:space="preserve"> provenance </w:t>
      </w:r>
      <w:r>
        <w:rPr>
          <w:rStyle w:val="AttributeTok"/>
        </w:rPr>
        <w:t xml:space="preserve">--json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Sentinel_Starter_Kit/.venv/bin/python</w:t>
      </w:r>
      <w:r>
        <w:rPr>
          <w:rStyle w:val="NormalTok"/>
        </w:rPr>
        <w:t xml:space="preserve"> scripts/ablation.py</w:t>
      </w:r>
    </w:p>
    <w:tbl>
      <w:tblPr>
        <w:tblStyle w:val="Table"/>
        <w:tblW w:type="dxa" w:w="9936"/>
        <w:jc w:val="center"/>
        <w:tblLook w:firstRow="1" w:lastRow="0" w:firstColumn="0" w:lastColumn="0" w:noHBand="0" w:noVBand="0" w:val="0020"/>
        <w:tblBorders>
          <w:top w:val="single" w:sz="4" w:color="D1D5DB"/>
          <w:left w:val="nil" w:sz="0" w:color="FFFFFF"/>
          <w:bottom w:val="single" w:sz="8" w:color="1E2A44"/>
          <w:right w:val="nil" w:sz="0" w:color="FFFFFF"/>
          <w:insideH w:val="single" w:sz="4" w:color="D1D5DB"/>
          <w:insideV w:val="nil" w:sz="0" w:color="FFFFFF"/>
        </w:tblBorders>
        <w:tblLayout w:type="fixed"/>
      </w:tblPr>
      <w:tblGrid>
        <w:gridCol w:w="5272"/>
        <w:gridCol w:w="4663"/>
      </w:tblGrid>
      <w:tr>
        <w:trPr>
          <w:tblHeader w:val="on"/>
          <w:cantSplit/>
        </w:trPr>
        <w:tc>
          <w:tcPr>
            <w:tcW w:type="dxa" w:w="5272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Scorecard</w:t>
            </w:r>
          </w:p>
        </w:tc>
        <w:tc>
          <w:tcPr>
            <w:tcW w:type="dxa" w:w="4664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1E2A4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Deterministic digest</w:t>
            </w:r>
          </w:p>
        </w:tc>
      </w:tr>
      <w:tr>
        <w:trPr>
          <w:cantSplit/>
        </w:trPr>
        <w:tc>
          <w:tcPr>
            <w:tcW w:type="dxa" w:w="52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GIRAPH public</w:t>
            </w:r>
          </w:p>
        </w:tc>
        <w:tc>
          <w:tcPr>
            <w:tcW w:type="dxa" w:w="4664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0d6c45a345ed…</w:t>
            </w:r>
          </w:p>
        </w:tc>
      </w:tr>
      <w:tr>
        <w:trPr>
          <w:cantSplit/>
        </w:trPr>
        <w:tc>
          <w:tcPr>
            <w:tcW w:type="dxa" w:w="5272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GIRAPH public, adaptive</w:t>
            </w:r>
          </w:p>
        </w:tc>
        <w:tc>
          <w:tcPr>
            <w:tcW w:type="dxa" w:w="4664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d4f66ca6876b…</w:t>
            </w:r>
          </w:p>
        </w:tc>
      </w:tr>
      <w:tr>
        <w:trPr>
          <w:cantSplit/>
        </w:trPr>
        <w:tc>
          <w:tcPr>
            <w:tcW w:type="dxa" w:w="52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GIRAPH validation</w:t>
            </w:r>
          </w:p>
        </w:tc>
        <w:tc>
          <w:tcPr>
            <w:tcW w:type="dxa" w:w="4664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e80110527c75…</w:t>
            </w:r>
          </w:p>
        </w:tc>
      </w:tr>
      <w:tr>
        <w:trPr>
          <w:cantSplit/>
        </w:trPr>
        <w:tc>
          <w:tcPr>
            <w:tcW w:type="dxa" w:w="5272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sz w:val="18"/>
              </w:rPr>
              <w:t xml:space="preserve">provenance public</w:t>
            </w:r>
          </w:p>
        </w:tc>
        <w:tc>
          <w:tcPr>
            <w:tcW w:type="dxa" w:w="4664"/>
            <w:tcMar>
              <w:top w:w="60" w:type="dxa"/>
              <w:bottom w:w="60" w:type="dxa"/>
              <w:left w:w="90" w:type="dxa"/>
              <w:right w:w="90" w:type="dxa"/>
            </w:tcMar>
            <w:shd w:val="clear" w:color="auto" w:fill="F4F6F8"/>
          </w:tcPr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7e9ab1696a87…</w:t>
            </w:r>
          </w:p>
        </w:tc>
      </w:tr>
      <w:tr>
        <w:trPr>
          <w:cantSplit/>
        </w:trPr>
        <w:tc>
          <w:tcPr>
            <w:tcW w:type="dxa" w:w="52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sz w:val="18"/>
              </w:rPr>
              <w:t xml:space="preserve">allow_all public</w:t>
            </w:r>
          </w:p>
        </w:tc>
        <w:tc>
          <w:tcPr>
            <w:tcW w:type="dxa" w:w="4664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a9aa03e1ebc6…</w:t>
            </w:r>
          </w:p>
        </w:tc>
      </w:tr>
    </w:tbl>
    <w:p>
      <w:pPr>
        <w:pStyle w:val="BodyText"/>
      </w:pPr>
      <w:r>
        <w:t xml:space="preserve">No external models or datasets are used in the reported configuration.</w:t>
      </w:r>
    </w:p>
    <w:bookmarkEnd w:id="31"/>
    <w:bookmarkEnd w:id="32"/>
    <w:sectPr>
      <w:footerReference w:type="default" r:id="rId9"/>
      <w:footnotePr>
        <w:numRestart w:val="eachSect"/>
      </w:footnotePr>
      <w:pgMar w:left="1152" w:right="1152" w:top="1080" w:bottom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  <w:sz w:val="16"/>
      </w:rPr>
      <w:t xml:space="preserve">GIRAPH · technical report · SENTINEL 2026    </w:t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/>
    </w:pPr>
    <w:rPr>
      <w:rFonts w:ascii="Calibri" w:eastAsia="Calibri" w:hAnsi="Calibri"/>
      <w:color w:val="1F2937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/>
    </w:pPr>
    <w:rPr>
      <w:rFonts w:ascii="Calibri" w:eastAsia="Calibri" w:hAnsi="Calibri"/>
      <w:color w:val="1F2937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eastAsia="Calibri" w:hAnsi="Calibri"/>
      <w:color w:val="1F2937"/>
      <w:sz w:val="21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eastAsia="Calibri" w:hAnsi="Calibri"/>
      <w:color w:val="1F2937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0" w:line="240" w:lineRule="auto"/>
      <w:contextualSpacing/>
      <w:jc w:val="center"/>
    </w:pPr>
    <w:rPr>
      <w:rFonts w:ascii="Calibri Light" w:asciiTheme="majorHAnsi" w:cstheme="majorBidi" w:eastAsia="Calibri Light" w:eastAsiaTheme="majorEastAsia" w:hAnsi="Calibri Light" w:hAnsiTheme="majorHAnsi"/>
      <w:b/>
      <w:color w:val="1E2A44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400"/>
      <w:outlineLvl w:val="0"/>
    </w:pPr>
    <w:rPr>
      <w:rFonts w:ascii="Calibri Light" w:asciiTheme="majorHAnsi" w:cstheme="majorBidi" w:eastAsia="Calibri Light" w:eastAsiaTheme="majorEastAsia" w:hAnsi="Calibri Light" w:hAnsiTheme="majorHAnsi"/>
      <w:b/>
      <w:color w:val="1E2A44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libri" w:asciiTheme="majorHAnsi" w:cstheme="majorBidi" w:eastAsia="Calibri" w:eastAsiaTheme="majorEastAsia" w:hAnsi="Calibri" w:hAnsiTheme="majorHAnsi"/>
      <w:b/>
      <w:color w:val="0E7C7B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20"/>
      <w:ind w:firstLine="0" w:left="480" w:right="480"/>
    </w:pPr>
    <w:rPr>
      <w:rFonts w:ascii="Calibri" w:eastAsia="Calibri" w:hAnsi="Calibri"/>
      <w:i w:val="0"/>
      <w:color w:val="1F2937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200"/>
    </w:pPr>
    <w:rPr>
      <w:rFonts w:ascii="Calibri" w:eastAsia="Calibri" w:hAnsi="Calibri"/>
      <w:i/>
      <w:color w:val="6B7280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sz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1" Type="http://schemas.openxmlformats.org/officeDocument/2006/relationships/image" Target="media/rId11.png"/><Relationship Id="rId21" Type="http://schemas.openxmlformats.org/officeDocument/2006/relationships/image" Target="media/rId21.png"/><Relationship Id="rId18" Type="http://schemas.openxmlformats.org/officeDocument/2006/relationships/image" Target="media/rId18.pn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GIRAPH: technical report</dc:title>
  <dc:creator/>
  <cp:keywords/>
  <dcterms:created xsi:type="dcterms:W3CDTF">2026-09-23T22:17:15Z</dcterms:created>
  <dcterms:modified xsi:type="dcterms:W3CDTF">2026-09-23T22:17:15Z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