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caps w:val="false"/>
          <w:smallCaps w:val="false"/>
          <w:color w:val="333333"/>
          <w:spacing w:val="0"/>
        </w:rPr>
      </w:pPr>
      <w:bookmarkStart w:id="0" w:name="__DdeLink__0_2789172800"/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ODOO</w:t>
      </w:r>
      <w:bookmarkEnd w:id="0"/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中国财务模块使用手册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858585"/>
          <w:spacing w:val="0"/>
        </w:rPr>
      </w:pP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2018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年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04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月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20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日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858585"/>
          <w:spacing w:val="0"/>
        </w:rPr>
      </w:pPr>
      <w:r>
        <w:rPr>
          <w:caps w:val="false"/>
          <w:smallCaps w:val="false"/>
          <w:color w:val="858585"/>
          <w:spacing w:val="0"/>
        </w:rPr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1.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初始化会计年度与期间：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菜单“配置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-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期间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-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会计年度”中设置会计年度，名称与代码一般都是当前年份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20XX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。</w:t>
      </w:r>
    </w:p>
    <w:p>
      <w:pPr>
        <w:pStyle w:val="TextBody"/>
        <w:widowControl/>
        <w:spacing w:before="0" w:after="150"/>
        <w:ind w:left="0" w:right="0" w:hanging="0"/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确认无误后点击保存，再点击按钮“创建月度期间”。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2.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录入期初余额：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和国产财务软件不同的是，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ODOO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是以凭证的方式录入期初余额。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菜单“顾问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-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日记账分录”，创建一张日记账为“杂项操作”，期间为“开帐期间 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20XX”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的期初凭证。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3.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凭证设置辅助核算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凭证保存后，从“日记账分录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-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明细行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-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辅助核算”的图标把手进入，可以设置辅助核算。</w:t>
      </w:r>
    </w:p>
    <w:p>
      <w:pPr>
        <w:pStyle w:val="TextBody"/>
        <w:widowControl/>
        <w:spacing w:before="0" w:after="150"/>
        <w:ind w:left="0" w:right="0" w:hanging="0"/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允许的辅助核算需要预先至会计科目中设置。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4.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凭证设置现金流量</w:t>
      </w:r>
    </w:p>
    <w:p>
      <w:pPr>
        <w:pStyle w:val="TextBody"/>
        <w:widowControl/>
        <w:spacing w:before="0" w:after="150"/>
        <w:ind w:left="0" w:right="0" w:hanging="0"/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凭证保存后，如果本凭证有现金流量关联科目，则会根据预置规则自动设置现金流量项目。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保存后的现金流量亦可人工指定，从“日记账分录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-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流量“按钮进入。</w:t>
      </w:r>
    </w:p>
    <w:p>
      <w:pPr>
        <w:pStyle w:val="TextBody"/>
        <w:widowControl/>
        <w:spacing w:before="0" w:after="150"/>
        <w:ind w:left="0" w:right="0" w:hanging="0"/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科目对应的现金流量项目规则需至现金流量项目中设置，设置对应的借方与贷方会计科目。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5.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转账：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在菜单“期末处理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-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结转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-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自定义结转”中，确保转出单条明细的转账比例数值等于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1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，而转入一条或多条明细的转账比例合计数等于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1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6.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结账：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在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ODOO 9.0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及其以后版本，采用了独特且简化的会计期间设置，但其不利于像传统财务软件那样管理会计期间，所以中国财务模块又沿用了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ODOO 8.0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的会计期间设计。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基于以上原因，所以需要同时设置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ODOO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系统内置的会计期间与中国财务模块会计期间。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a.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在菜单“配置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-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设置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-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会计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(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开票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)-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会计期间关闭中”进行设置；该设置主要起控制作用，默认为不控制（即参数为空），也可根据管理需要设置。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b.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开账期间或普通月份期间结束后，在菜单“期末处理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-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关闭一个期间”中，选择需要关闭的期间，首个未关闭期间就是当前期间。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Q&amp;A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Q: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财务报表没数据？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A: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请确认凭证上都设置了会计期间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Q: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财务报表数据不准确？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A: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请确认会计科目属性是否正确，如上级科目，科目类型，科目余额方向等；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UFO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报表模板内取数公式是否调整正确（模板存在于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l10n_cn_reports/static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文件夹下）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Q: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不能设置辅助核算？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A: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请确认对应科目开启了辅助核算，并且凭证保存后才能设置辅助核算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Q: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转账期间为空？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A: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请确认启用并存在有效的期间，且转账设置保存后转账期间才会有显示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Q: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不能设置现金流量？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A: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只有凭证中有现金类科目，才需要设置现金流量，且可设置的现金流量会根据现金流量项目中的设置做过滤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Q: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凭证不能录入负值？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A: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由于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ODOO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会计分录仅支持正数，如遇到负数的情况，则需要通过借贷方互换来达到效果，如借方的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-100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可变为贷方的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100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Q: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不出现会计菜单？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A: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确保当前用户具有财务业务相关权限，最高权限为“顾问”角色。另外虽然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odoo11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版的财务模块名称为“开票”，但财务模块功能都在其中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Q: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页面报错信息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Template 'L10nCnDashBoardMain' not found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A: odoo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配置文件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(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通常为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odoo.conf)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的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server_wide_modules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参数增加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l10n_cn_dashboard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项，例“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server_wide_modules = web,l10n_cn_dashboard”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Q: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不能安装财务报表模块，因为一个外部依赖没有满足 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No module named xlutils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A: 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需通过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pip install xlutils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命令安装</w:t>
      </w:r>
      <w:r>
        <w:rPr>
          <w:rFonts w:ascii="Hiragino Kaku Gothic ProN;Helvetica Neue;Luxi Sans;DejaVu Sans;Tahoma;Hiragino Sans GB;STHeiti" w:hAnsi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xlutils</w:t>
      </w:r>
      <w:r>
        <w:rPr>
          <w:rFonts w:eastAsia="Hiragino Kaku Gothic ProN;Helvetica Neue;Luxi Sans;DejaVu Sans;Tahoma;Hiragino Sans GB;STHeiti"/>
          <w:b w:val="false"/>
          <w:i w:val="false"/>
          <w:caps w:val="false"/>
          <w:smallCaps w:val="false"/>
          <w:color w:val="333333"/>
          <w:spacing w:val="0"/>
          <w:sz w:val="20"/>
        </w:rPr>
        <w:t>库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858585"/>
          <w:spacing w:val="0"/>
        </w:rPr>
      </w:pPr>
      <w:r>
        <w:rPr>
          <w:caps w:val="false"/>
          <w:smallCaps w:val="false"/>
          <w:color w:val="858585"/>
          <w:spacing w:val="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 Pro Display">
    <w:altName w:val="Roboto"/>
    <w:charset w:val="01"/>
    <w:family w:val="auto"/>
    <w:pitch w:val="default"/>
  </w:font>
  <w:font w:name="Hiragino Kaku Gothic ProN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LibreOffice/5.3.7.2.0$Linux_X86_64 LibreOffice_project/30$Build-2</Application>
  <Pages>3</Pages>
  <Words>1098</Words>
  <Characters>1349</Characters>
  <CharactersWithSpaces>1396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2018-08-08T20:09:04Z</dcterms:created>
  <dc:creator/>
  <dc:description/>
  <dc:language>zh-CN</dc:language>
  <cp:lastModifiedBy/>
  <dcterms:modified xsi:type="dcterms:W3CDTF">2018-08-08T20:15:11Z</dcterms:modified>
  <cp:revision>1</cp:revision>
  <dc:subject/>
  <dc:title/>
</cp:coreProperties>
</file>