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40"/>
          <w:sz w:val="56"/>
          <w:szCs w:val="56"/>
        </w:rPr>
        <w:t xml:space="preserve">Laurel Education</w:t>
      </w:r>
    </w:p>
    <w:p>
      <w:pPr>
        <w:spacing w:after="400"/>
      </w:pPr>
      <w:r>
        <w:rPr>
          <w:i/>
          <w:iCs/>
          <w:color w:val="6B5FE4"/>
          <w:sz w:val="24"/>
          <w:szCs w:val="24"/>
        </w:rPr>
        <w:t xml:space="preserve">Incident Response &amp; Breach Notification Plan</w:t>
      </w:r>
    </w:p>
    <w:p>
      <w:pPr>
        <w:spacing w:after="160" w:line="276"/>
      </w:pPr>
      <w:r>
        <w:t xml:space="preserve">Last Updated: August 10, 2026</w:t>
      </w:r>
    </w:p>
    <w:p>
      <w:pPr>
        <w:pBdr>
          <w:top w:val="single" w:color="C0392B" w:sz="6"/>
          <w:bottom w:val="single" w:color="C0392B" w:sz="6"/>
          <w:left w:val="single" w:color="C0392B" w:sz="6"/>
          <w:right w:val="single" w:color="C0392B" w:sz="6"/>
        </w:pBdr>
        <w:shd w:fill="FDECEA" w:val="clear"/>
        <w:spacing w:after="400" w:before="200"/>
      </w:pPr>
      <w:r>
        <w:rPr>
          <w:b/>
          <w:bCs/>
          <w:color w:val="C0392B"/>
          <w:sz w:val="22"/>
          <w:szCs w:val="22"/>
        </w:rPr>
        <w:t xml:space="preserve">DRAFT — INTERNAL OPERATIONAL DOCUMENT</w:t>
      </w:r>
      <w:r>
        <w:br/>
        <w:t xml:space="preserve"/>
      </w:r>
      <w:r>
        <w:rPr>
          <w:color w:val="7A2E27"/>
        </w:rPr>
        <w:t xml:space="preserve">This plan reflects Laurel Education’s actual infrastructure as of August 2026 and its response procedures (Sections 4–6, 8–9) are usable as-is. The legal breach-notification thresholds and notification templates in Section 7 should be confirmed with privacy counsel before being relied upon — exact obligations vary by jurisdiction, and data belonging to a public-sector school board may trigger the board’s own separate notification duties under its provincial legislation. Text in </w:t>
      </w:r>
      <w:r>
        <w:rPr>
          <w:b/>
          <w:bCs/>
          <w:color w:val="C0392B"/>
        </w:rPr>
        <w:t xml:space="preserve">bold red brackets</w:t>
      </w:r>
      <w:r>
        <w:rPr>
          <w:color w:val="7A2E27"/>
        </w:rPr>
        <w:t xml:space="preserve"> marks information Laurel Education must supply.</w:t>
      </w:r>
    </w:p>
    <w:p>
      <w:pPr>
        <w:pStyle w:val="Heading1"/>
        <w:spacing w:after="160" w:before="320"/>
      </w:pPr>
      <w:r>
        <w:t xml:space="preserve">1. Purpose and Scope</w:t>
      </w:r>
    </w:p>
    <w:p>
      <w:pPr>
        <w:spacing w:after="160" w:line="276"/>
      </w:pPr>
      <w:r>
        <w:t xml:space="preserve">This plan describes how Laurel Education detects, contains, investigates, and communicates about security incidents affecting Account Holder or Student Data, including how it satisfies PIPEDA’s breach-recordkeeping and notification obligations.</w:t>
      </w:r>
    </w:p>
    <w:p>
      <w:pPr>
        <w:spacing w:after="160" w:line="276"/>
      </w:pPr>
      <w:r>
        <w:t xml:space="preserve">It covers Laurel Education’s own infrastructure (Firebase project laureleducation-64768: Firestore, Cloud Functions, Hosting, Authentication) and its subprocessors (Google Cloud/Firebase, Anthropic). It does not replace a school or school board’s own incident response obligations under its provincial legislation — see Section 7.4.</w:t>
      </w:r>
    </w:p>
    <w:p>
      <w:pPr>
        <w:pStyle w:val="Heading1"/>
        <w:spacing w:after="160" w:before="320"/>
      </w:pPr>
      <w:r>
        <w:t xml:space="preserve">2. Roles and Responsibilities</w:t>
      </w:r>
    </w:p>
    <w:p>
      <w:pPr>
        <w:spacing w:after="160" w:line="276"/>
      </w:pPr>
      <w:r>
        <w:t xml:space="preserve">Laurel Education is currently operated by a single person. This plan is written for that reality rather than assuming a dedicated security team, legal department, or PR function.</w:t>
      </w:r>
    </w:p>
    <w:p>
      <w:pPr>
        <w:pStyle w:val="ListParagraph"/>
        <w:numPr>
          <w:ilvl w:val="0"/>
          <w:numId w:val="2"/>
        </w:numPr>
        <w:spacing w:after="80" w:line="276"/>
      </w:pPr>
      <w:r>
        <w:t xml:space="preserve">Incident Lead (all roles below until the team grows): </w:t>
      </w:r>
      <w:r>
        <w:rPr>
          <w:b/>
          <w:bCs/>
          <w:color w:val="C0392B"/>
        </w:rPr>
        <w:t xml:space="preserve">[NAME — CURRENTLY PAUL CHARBONNEAU]</w:t>
      </w:r>
      <w:r>
        <w:t xml:space="preserve">, responsible for triage, containment, technical remediation, and notification decisions.</w:t>
      </w:r>
    </w:p>
    <w:p>
      <w:pPr>
        <w:pStyle w:val="ListParagraph"/>
        <w:numPr>
          <w:ilvl w:val="0"/>
          <w:numId w:val="2"/>
        </w:numPr>
        <w:spacing w:after="80" w:line="276"/>
      </w:pPr>
      <w:r>
        <w:t xml:space="preserve">External legal counsel: </w:t>
      </w:r>
      <w:r>
        <w:rPr>
          <w:b/>
          <w:bCs/>
          <w:color w:val="C0392B"/>
        </w:rPr>
        <w:t xml:space="preserve">[TO BE RETAINED / NAME]</w:t>
      </w:r>
      <w:r>
        <w:t xml:space="preserve"> — engage for any incident that may meet the "real risk of significant harm" threshold (Section 7.1), or that involves a school board.</w:t>
      </w:r>
    </w:p>
    <w:p>
      <w:pPr>
        <w:pStyle w:val="ListParagraph"/>
        <w:numPr>
          <w:ilvl w:val="0"/>
          <w:numId w:val="2"/>
        </w:numPr>
        <w:spacing w:after="80" w:line="276"/>
      </w:pPr>
      <w:r>
        <w:t xml:space="preserve">As the team grows beyond one person, split this list into distinct Incident Lead, Technical Responder, Communications, and Legal roles, and update this section.</w:t>
      </w:r>
    </w:p>
    <w:p>
      <w:pPr>
        <w:pStyle w:val="Heading1"/>
        <w:spacing w:after="160" w:before="320"/>
      </w:pPr>
      <w:r>
        <w:t xml:space="preserve">3. What Counts as a Security Incident</w:t>
      </w:r>
    </w:p>
    <w:p>
      <w:pPr>
        <w:spacing w:after="160" w:line="276"/>
      </w:pPr>
      <w:r>
        <w:t xml:space="preserve">Treat any of the following as an incident and start this process:</w:t>
      </w:r>
    </w:p>
    <w:p>
      <w:pPr>
        <w:pStyle w:val="ListParagraph"/>
        <w:numPr>
          <w:ilvl w:val="0"/>
          <w:numId w:val="2"/>
        </w:numPr>
        <w:spacing w:after="80" w:line="276"/>
      </w:pPr>
      <w:r>
        <w:t xml:space="preserve">Evidence that someone accessed, modified, or deleted Student Data or account information without authorization — including a compromised teacher account or a Firestore security rule gap.</w:t>
      </w:r>
    </w:p>
    <w:p>
      <w:pPr>
        <w:pStyle w:val="ListParagraph"/>
        <w:numPr>
          <w:ilvl w:val="0"/>
          <w:numId w:val="2"/>
        </w:numPr>
        <w:spacing w:after="80" w:line="276"/>
      </w:pPr>
      <w:r>
        <w:t xml:space="preserve">Loss or theft of a device or credential with access to the Firebase project (e.g., a laptop with an active Firebase CLI session, or the Anthropic API key).</w:t>
      </w:r>
    </w:p>
    <w:p>
      <w:pPr>
        <w:pStyle w:val="ListParagraph"/>
        <w:numPr>
          <w:ilvl w:val="0"/>
          <w:numId w:val="2"/>
        </w:numPr>
        <w:spacing w:after="80" w:line="276"/>
      </w:pPr>
      <w:r>
        <w:t xml:space="preserve">A vulnerability report (from a user, researcher, or automated scanner) describing a way to bypass authentication or data isolation.</w:t>
      </w:r>
    </w:p>
    <w:p>
      <w:pPr>
        <w:pStyle w:val="ListParagraph"/>
        <w:numPr>
          <w:ilvl w:val="0"/>
          <w:numId w:val="2"/>
        </w:numPr>
        <w:spacing w:after="80" w:line="276"/>
      </w:pPr>
      <w:r>
        <w:t xml:space="preserve">An outage or bug that corrupts or destroys data without an authorized deletion request behind it.</w:t>
      </w:r>
    </w:p>
    <w:p>
      <w:pPr>
        <w:pStyle w:val="ListParagraph"/>
        <w:numPr>
          <w:ilvl w:val="0"/>
          <w:numId w:val="2"/>
        </w:numPr>
        <w:spacing w:after="80" w:line="276"/>
      </w:pPr>
      <w:r>
        <w:t xml:space="preserve">A notice from Google Cloud/Firebase or Anthropic about a security event on their side that may affect Laurel Education’s data.</w:t>
      </w:r>
    </w:p>
    <w:p>
      <w:pPr>
        <w:pStyle w:val="Heading1"/>
        <w:spacing w:after="160" w:before="320"/>
      </w:pPr>
      <w:r>
        <w:t xml:space="preserve">4. Detection and Reporting Channels</w:t>
      </w:r>
    </w:p>
    <w:p>
      <w:pPr>
        <w:spacing w:after="160" w:line="276"/>
      </w:pPr>
      <w:r>
        <w:t xml:space="preserve">Ways an incident is likely to be discovered:</w:t>
      </w:r>
    </w:p>
    <w:p>
      <w:pPr>
        <w:pStyle w:val="ListParagraph"/>
        <w:numPr>
          <w:ilvl w:val="0"/>
          <w:numId w:val="2"/>
        </w:numPr>
        <w:spacing w:after="80" w:line="276"/>
      </w:pPr>
      <w:r>
        <w:t xml:space="preserve">The auditLogs Firestore collection, which automatically records every creation, modification, and deletion of student records — review this first when investigating suspicious activity for a given teacherId.</w:t>
      </w:r>
    </w:p>
    <w:p>
      <w:pPr>
        <w:pStyle w:val="ListParagraph"/>
        <w:numPr>
          <w:ilvl w:val="0"/>
          <w:numId w:val="2"/>
        </w:numPr>
        <w:spacing w:after="80" w:line="276"/>
      </w:pPr>
      <w:r>
        <w:t xml:space="preserve">Firebase Console alerts (Authentication, Firestore usage anomalies, Cloud Functions error rates).</w:t>
      </w:r>
    </w:p>
    <w:p>
      <w:pPr>
        <w:pStyle w:val="ListParagraph"/>
        <w:numPr>
          <w:ilvl w:val="0"/>
          <w:numId w:val="2"/>
        </w:numPr>
        <w:spacing w:after="80" w:line="276"/>
      </w:pPr>
      <w:r>
        <w:t xml:space="preserve">A report from a teacher or school, e.g., to </w:t>
      </w:r>
      <w:r>
        <w:rPr>
          <w:b/>
          <w:bCs/>
          <w:color w:val="C0392B"/>
        </w:rPr>
        <w:t xml:space="preserve">[SECURITY/SUPPORT CONTACT EMAIL]</w:t>
      </w:r>
      <w:r>
        <w:t xml:space="preserve">.</w:t>
      </w:r>
    </w:p>
    <w:p>
      <w:pPr>
        <w:pStyle w:val="ListParagraph"/>
        <w:numPr>
          <w:ilvl w:val="0"/>
          <w:numId w:val="2"/>
        </w:numPr>
        <w:spacing w:after="80" w:line="276"/>
      </w:pPr>
      <w:r>
        <w:t xml:space="preserve">GitHub security advisories for project dependencies (Dependabot alerts, if enabled).</w:t>
      </w:r>
    </w:p>
    <w:p>
      <w:pPr>
        <w:pStyle w:val="ListParagraph"/>
        <w:numPr>
          <w:ilvl w:val="0"/>
          <w:numId w:val="2"/>
        </w:numPr>
        <w:spacing w:after="80" w:line="276"/>
      </w:pPr>
      <w:r>
        <w:t xml:space="preserve">A direct notice from Google Cloud or Anthropic.</w:t>
      </w:r>
    </w:p>
    <w:p>
      <w:pPr>
        <w:pStyle w:val="Heading1"/>
        <w:spacing w:after="160" w:before="320"/>
      </w:pPr>
      <w:r>
        <w:t xml:space="preserve">5. Immediate Response — Contain</w:t>
      </w:r>
    </w:p>
    <w:p>
      <w:pPr>
        <w:spacing w:after="160" w:line="276"/>
      </w:pPr>
      <w:r>
        <w:t xml:space="preserve">As soon as an incident is identified:</w:t>
      </w:r>
    </w:p>
    <w:p>
      <w:pPr>
        <w:pStyle w:val="ListParagraph"/>
        <w:numPr>
          <w:ilvl w:val="0"/>
          <w:numId w:val="2"/>
        </w:numPr>
        <w:spacing w:after="80" w:line="276"/>
      </w:pPr>
      <w:r>
        <w:t xml:space="preserve">Query the auditLogs collection (and, if needed, Firestore/Cloud Functions logs in the Firebase Console) for the affected teacherId(s) and time window, and export/save that evidence before taking any action that could overwrite or age it out.</w:t>
      </w:r>
    </w:p>
    <w:p>
      <w:pPr>
        <w:pStyle w:val="ListParagraph"/>
        <w:numPr>
          <w:ilvl w:val="0"/>
          <w:numId w:val="2"/>
        </w:numPr>
        <w:spacing w:after="80" w:line="276"/>
      </w:pPr>
      <w:r>
        <w:t xml:space="preserve">If a specific account is compromised: disable or reset it from the Firebase Console (Authentication tab) — this immediately revokes its active sessions.</w:t>
      </w:r>
    </w:p>
    <w:p>
      <w:pPr>
        <w:pStyle w:val="ListParagraph"/>
        <w:numPr>
          <w:ilvl w:val="0"/>
          <w:numId w:val="2"/>
        </w:numPr>
        <w:spacing w:after="80" w:line="276"/>
      </w:pPr>
      <w:r>
        <w:t xml:space="preserve">If the Anthropic API key may be exposed: rotate it immediately via `firebase functions:secrets:set ANTHROPIC_API_KEY` and redeploy the generateEvaluation function so the old key stops being used.</w:t>
      </w:r>
    </w:p>
    <w:p>
      <w:pPr>
        <w:pStyle w:val="ListParagraph"/>
        <w:numPr>
          <w:ilvl w:val="0"/>
          <w:numId w:val="2"/>
        </w:numPr>
        <w:spacing w:after="80" w:line="276"/>
      </w:pPr>
      <w:r>
        <w:t xml:space="preserve">If the issue is a Firestore security rule gap: write and deploy a corrected firestore.rules as the top priority, then verify the fix the same way prior rule changes have been verified in this project — attempt the previously-possible unauthorized read/write from a second test account and confirm it is now rejected.</w:t>
      </w:r>
    </w:p>
    <w:p>
      <w:pPr>
        <w:pStyle w:val="ListParagraph"/>
        <w:numPr>
          <w:ilvl w:val="0"/>
          <w:numId w:val="2"/>
        </w:numPr>
        <w:spacing w:after="80" w:line="276"/>
      </w:pPr>
      <w:r>
        <w:t xml:space="preserve">If the issue is in application code: revert or patch the offending commit, redeploy, and verify in a fresh browser session (bypassing cache) that the fix is actually live before considering the incident contained.</w:t>
      </w:r>
    </w:p>
    <w:p>
      <w:pPr>
        <w:pStyle w:val="Heading1"/>
        <w:spacing w:after="160" w:before="320"/>
      </w:pPr>
      <w:r>
        <w:t xml:space="preserve">6. Assessment — Investigate</w:t>
      </w:r>
    </w:p>
    <w:p>
      <w:pPr>
        <w:spacing w:after="160" w:line="276"/>
      </w:pPr>
      <w:r>
        <w:t xml:space="preserve">Once contained, determine:</w:t>
      </w:r>
    </w:p>
    <w:p>
      <w:pPr>
        <w:pStyle w:val="ListParagraph"/>
        <w:numPr>
          <w:ilvl w:val="0"/>
          <w:numId w:val="2"/>
        </w:numPr>
        <w:spacing w:after="80" w:line="276"/>
      </w:pPr>
      <w:r>
        <w:t xml:space="preserve">Root cause: what allowed the incident to happen.</w:t>
      </w:r>
    </w:p>
    <w:p>
      <w:pPr>
        <w:pStyle w:val="ListParagraph"/>
        <w:numPr>
          <w:ilvl w:val="0"/>
          <w:numId w:val="2"/>
        </w:numPr>
        <w:spacing w:after="80" w:line="276"/>
      </w:pPr>
      <w:r>
        <w:t xml:space="preserve">Scope: which teacher account(s) and which student records were actually accessed, modified, or exposed — not just which ones theoretically could have been. The auditLogs collection and Firestore/Functions logs are the primary evidence sources.</w:t>
      </w:r>
    </w:p>
    <w:p>
      <w:pPr>
        <w:pStyle w:val="ListParagraph"/>
        <w:numPr>
          <w:ilvl w:val="0"/>
          <w:numId w:val="2"/>
        </w:numPr>
        <w:spacing w:after="80" w:line="276"/>
      </w:pPr>
      <w:r>
        <w:t xml:space="preserve">Whether the exposed information includes anything beyond names/observations — for example, authentication credentials — since that changes the notification obligations in Section 7.</w:t>
      </w:r>
    </w:p>
    <w:p>
      <w:pPr>
        <w:pStyle w:val="ListParagraph"/>
        <w:numPr>
          <w:ilvl w:val="0"/>
          <w:numId w:val="2"/>
        </w:numPr>
        <w:spacing w:after="80" w:line="276"/>
      </w:pPr>
      <w:r>
        <w:t xml:space="preserve">Whether the incident is ongoing or fully contained.</w:t>
      </w:r>
    </w:p>
    <w:p>
      <w:pPr>
        <w:spacing w:after="160" w:line="276"/>
      </w:pPr>
      <w:r>
        <w:t xml:space="preserve">Keep a written incident record for every confirmed incident, regardless of severity — PIPEDA requires organizations to retain records of all breaches of security safeguards for at least 24 months, even ones that don’t meet the reporting threshold below.</w:t>
      </w:r>
    </w:p>
    <w:p>
      <w:pPr>
        <w:pStyle w:val="Heading1"/>
        <w:spacing w:after="160" w:before="320"/>
      </w:pPr>
      <w:r>
        <w:t xml:space="preserve">7. Notification</w:t>
      </w:r>
    </w:p>
    <w:p>
      <w:pPr>
        <w:pStyle w:val="Heading2"/>
        <w:spacing w:after="120" w:before="240"/>
      </w:pPr>
      <w:r>
        <w:t xml:space="preserve">7.1 The PIPEDA Threshold</w:t>
      </w:r>
    </w:p>
    <w:p>
      <w:pPr>
        <w:spacing w:after="160" w:line="276"/>
      </w:pPr>
      <w:r>
        <w:t xml:space="preserve">Under PIPEDA, a breach must be reported to the Office of the Privacy Commissioner of Canada (OPC) and to affected individuals if it creates a "real risk of significant harm" — considering the sensitivity of the information involved and the probability it will be misused. Confirm this assessment with legal counsel for any incident involving actual (not just potential) unauthorized access to Student Data; do not rely solely on this document’s characterization of severity.</w:t>
      </w:r>
    </w:p>
    <w:p>
      <w:pPr>
        <w:pStyle w:val="Heading2"/>
        <w:spacing w:after="120" w:before="240"/>
      </w:pPr>
      <w:r>
        <w:t xml:space="preserve">7.2 Reporting to the OPC</w:t>
      </w:r>
    </w:p>
    <w:p>
      <w:pPr>
        <w:spacing w:after="160" w:line="276"/>
      </w:pPr>
      <w:r>
        <w:t xml:space="preserve">If the threshold is met, report to the OPC as soon as feasible after determining a breach occurred, using the OPC’s breach report form at </w:t>
      </w:r>
      <w:r>
        <w:rPr>
          <w:b/>
          <w:bCs/>
          <w:color w:val="C0392B"/>
        </w:rPr>
        <w:t xml:space="preserve">[OPC BREACH REPORT FORM URL]</w:t>
      </w:r>
      <w:r>
        <w:t xml:space="preserve">. Include: what happened, when, what information was involved, the number of individuals affected, steps taken to reduce harm, and steps taken to prevent recurrence.</w:t>
      </w:r>
    </w:p>
    <w:p>
      <w:pPr>
        <w:pStyle w:val="Heading2"/>
        <w:spacing w:after="120" w:before="240"/>
      </w:pPr>
      <w:r>
        <w:t xml:space="preserve">7.3 Notifying Affected Teachers</w:t>
      </w:r>
    </w:p>
    <w:p>
      <w:pPr>
        <w:spacing w:after="160" w:line="276"/>
      </w:pPr>
      <w:r>
        <w:t xml:space="preserve">Notify affected Account Holders directly, in plain language, as soon as feasible. Because Laurel Education’s direct relationship is with teachers rather than students or parents (see the Privacy Policy, Section 9), teachers are the ones we notify directly; they are best positioned to determine whether and how to inform parents/guardians of their own students, consistent with their school’s policies.</w:t>
      </w:r>
    </w:p>
    <w:p>
      <w:pPr>
        <w:spacing w:after="160" w:line="276"/>
      </w:pPr>
      <w:r>
        <w:t xml:space="preserve">A notification should include, at minimum:</w:t>
      </w:r>
    </w:p>
    <w:p>
      <w:pPr>
        <w:pStyle w:val="ListParagraph"/>
        <w:numPr>
          <w:ilvl w:val="0"/>
          <w:numId w:val="2"/>
        </w:numPr>
        <w:spacing w:after="80" w:line="276"/>
      </w:pPr>
      <w:r>
        <w:t xml:space="preserve">What happened and when it was discovered.</w:t>
      </w:r>
    </w:p>
    <w:p>
      <w:pPr>
        <w:pStyle w:val="ListParagraph"/>
        <w:numPr>
          <w:ilvl w:val="0"/>
          <w:numId w:val="2"/>
        </w:numPr>
        <w:spacing w:after="80" w:line="276"/>
      </w:pPr>
      <w:r>
        <w:t xml:space="preserve">What information was involved (be specific — e.g., "classroom observations for students in your account" rather than a vague reference).</w:t>
      </w:r>
    </w:p>
    <w:p>
      <w:pPr>
        <w:pStyle w:val="ListParagraph"/>
        <w:numPr>
          <w:ilvl w:val="0"/>
          <w:numId w:val="2"/>
        </w:numPr>
        <w:spacing w:after="80" w:line="276"/>
      </w:pPr>
      <w:r>
        <w:t xml:space="preserve">What we have done to contain it and prevent recurrence.</w:t>
      </w:r>
    </w:p>
    <w:p>
      <w:pPr>
        <w:pStyle w:val="ListParagraph"/>
        <w:numPr>
          <w:ilvl w:val="0"/>
          <w:numId w:val="2"/>
        </w:numPr>
        <w:spacing w:after="80" w:line="276"/>
      </w:pPr>
      <w:r>
        <w:t xml:space="preserve">What the recipient can do (e.g., change their password, review their student records for anything unexpected).</w:t>
      </w:r>
    </w:p>
    <w:p>
      <w:pPr>
        <w:pStyle w:val="ListParagraph"/>
        <w:numPr>
          <w:ilvl w:val="0"/>
          <w:numId w:val="2"/>
        </w:numPr>
        <w:spacing w:after="80" w:line="276"/>
      </w:pPr>
      <w:r>
        <w:t xml:space="preserve">A contact point for questions: </w:t>
      </w:r>
      <w:r>
        <w:rPr>
          <w:b/>
          <w:bCs/>
          <w:color w:val="C0392B"/>
        </w:rPr>
        <w:t xml:space="preserve">[SECURITY/SUPPORT CONTACT EMAIL]</w:t>
      </w:r>
      <w:r>
        <w:t xml:space="preserve">.</w:t>
      </w:r>
    </w:p>
    <w:p>
      <w:pPr>
        <w:pStyle w:val="Heading2"/>
        <w:spacing w:after="120" w:before="240"/>
      </w:pPr>
      <w:r>
        <w:t xml:space="preserve">7.4 Coordinating With School Boards</w:t>
      </w:r>
    </w:p>
    <w:p>
      <w:pPr>
        <w:spacing w:after="160" w:line="276"/>
      </w:pPr>
      <w:r>
        <w:t xml:space="preserve">If affected data belongs to a public-sector school board, that board is very likely subject to its own separate breach-notification obligations under its provincial legislation (e.g., Ontario’s MFIPPA, BC’s FOIPPA, Alberta’s FOIP, Quebec’s Law 25) and may have its own timelines and required regulator contacts. Notify the board promptly and let them run their own parallel process rather than assuming our notification to teachers satisfies the board’s obligations.</w:t>
      </w:r>
    </w:p>
    <w:p>
      <w:pPr>
        <w:pStyle w:val="Heading1"/>
        <w:spacing w:after="160" w:before="320"/>
      </w:pPr>
      <w:r>
        <w:t xml:space="preserve">8. Eradication and Recovery</w:t>
      </w:r>
    </w:p>
    <w:p>
      <w:pPr>
        <w:pStyle w:val="ListParagraph"/>
        <w:numPr>
          <w:ilvl w:val="0"/>
          <w:numId w:val="2"/>
        </w:numPr>
        <w:spacing w:after="80" w:line="276"/>
      </w:pPr>
      <w:r>
        <w:t xml:space="preserve">Confirm the root cause is fully fixed and deployed (not just worked around) before considering the incident closed.</w:t>
      </w:r>
    </w:p>
    <w:p>
      <w:pPr>
        <w:pStyle w:val="ListParagraph"/>
        <w:numPr>
          <w:ilvl w:val="0"/>
          <w:numId w:val="2"/>
        </w:numPr>
        <w:spacing w:after="80" w:line="276"/>
      </w:pPr>
      <w:r>
        <w:t xml:space="preserve">If data was corrupted or deleted without authorization, restore from Firestore’s point-in-time recovery rather than attempting manual reconstruction.</w:t>
      </w:r>
    </w:p>
    <w:p>
      <w:pPr>
        <w:pStyle w:val="ListParagraph"/>
        <w:numPr>
          <w:ilvl w:val="0"/>
          <w:numId w:val="2"/>
        </w:numPr>
        <w:spacing w:after="80" w:line="276"/>
      </w:pPr>
      <w:r>
        <w:t xml:space="preserve">Rotate any credentials or secrets that may have been exposed, even if not confirmed used maliciously.</w:t>
      </w:r>
    </w:p>
    <w:p>
      <w:pPr>
        <w:pStyle w:val="ListParagraph"/>
        <w:numPr>
          <w:ilvl w:val="0"/>
          <w:numId w:val="2"/>
        </w:numPr>
        <w:spacing w:after="80" w:line="276"/>
      </w:pPr>
      <w:r>
        <w:t xml:space="preserve">Re-verify data isolation between teacher accounts after any Firestore rules or backend change, using the same live cross-account test used when rules were first deployed.</w:t>
      </w:r>
    </w:p>
    <w:p>
      <w:pPr>
        <w:pStyle w:val="Heading1"/>
        <w:spacing w:after="160" w:before="320"/>
      </w:pPr>
      <w:r>
        <w:t xml:space="preserve">9. Post-Incident Review</w:t>
      </w:r>
    </w:p>
    <w:p>
      <w:pPr>
        <w:spacing w:after="160" w:line="276"/>
      </w:pPr>
      <w:r>
        <w:t xml:space="preserve">After any confirmed incident, write a short retrospective: timeline, root cause, what worked, what didn’t, and what changes (technical or process) will prevent a repeat. Update this document if the process itself needs to change.</w:t>
      </w:r>
    </w:p>
    <w:p>
      <w:pPr>
        <w:pStyle w:val="Heading1"/>
        <w:spacing w:after="160" w:before="320"/>
      </w:pPr>
      <w:r>
        <w:t xml:space="preserve">10. Testing This Plan</w:t>
      </w:r>
    </w:p>
    <w:p>
      <w:pPr>
        <w:spacing w:after="160" w:line="276"/>
      </w:pPr>
      <w:r>
        <w:t xml:space="preserve">Review this plan at least once a year, and specifically before onboarding the first school board, by walking through a hypothetical scenario (e.g., "a teacher reports they can see another teacher’s students") and confirming each step above is still accurate and executable.</w:t>
      </w:r>
    </w:p>
    <w:p>
      <w:pPr>
        <w:pStyle w:val="Heading1"/>
        <w:spacing w:after="160" w:before="320"/>
      </w:pPr>
      <w:r>
        <w:t xml:space="preserve">11. Key Contacts and Resources</w:t>
      </w:r>
    </w:p>
    <w:p>
      <w:pPr>
        <w:pStyle w:val="ListParagraph"/>
        <w:numPr>
          <w:ilvl w:val="0"/>
          <w:numId w:val="2"/>
        </w:numPr>
        <w:spacing w:after="80" w:line="276"/>
      </w:pPr>
      <w:r>
        <w:t xml:space="preserve">Firebase project: laureleducation-64768 — console.firebase.google.com/project/laureleducation-64768</w:t>
      </w:r>
    </w:p>
    <w:p>
      <w:pPr>
        <w:pStyle w:val="ListParagraph"/>
        <w:numPr>
          <w:ilvl w:val="0"/>
          <w:numId w:val="2"/>
        </w:numPr>
        <w:spacing w:after="80" w:line="276"/>
      </w:pPr>
      <w:r>
        <w:t xml:space="preserve">Source repository: </w:t>
      </w:r>
      <w:r>
        <w:rPr>
          <w:b/>
          <w:bCs/>
          <w:color w:val="C0392B"/>
        </w:rPr>
        <w:t xml:space="preserve">[GITHUB REPO URL]</w:t>
      </w:r>
    </w:p>
    <w:p>
      <w:pPr>
        <w:pStyle w:val="ListParagraph"/>
        <w:numPr>
          <w:ilvl w:val="0"/>
          <w:numId w:val="2"/>
        </w:numPr>
        <w:spacing w:after="80" w:line="276"/>
      </w:pPr>
      <w:r>
        <w:t xml:space="preserve">Privacy counsel: </w:t>
      </w:r>
      <w:r>
        <w:rPr>
          <w:b/>
          <w:bCs/>
          <w:color w:val="C0392B"/>
        </w:rPr>
        <w:t xml:space="preserve">[NAME / CONTACT]</w:t>
      </w:r>
    </w:p>
    <w:p>
      <w:pPr>
        <w:pStyle w:val="ListParagraph"/>
        <w:numPr>
          <w:ilvl w:val="0"/>
          <w:numId w:val="2"/>
        </w:numPr>
        <w:spacing w:after="80" w:line="276"/>
      </w:pPr>
      <w:r>
        <w:t xml:space="preserve">OPC breach report form: </w:t>
      </w:r>
      <w:r>
        <w:rPr>
          <w:b/>
          <w:bCs/>
          <w:color w:val="C0392B"/>
        </w:rPr>
        <w:t xml:space="preserve">[OPC BREACH REPORT FORM URL]</w:t>
      </w:r>
    </w:p>
    <w:p>
      <w:pPr>
        <w:pStyle w:val="ListParagraph"/>
        <w:numPr>
          <w:ilvl w:val="0"/>
          <w:numId w:val="2"/>
        </w:numPr>
        <w:spacing w:after="80" w:line="276"/>
      </w:pPr>
      <w:r>
        <w:t xml:space="preserve">Security/support contact for teachers and schools: </w:t>
      </w:r>
      <w:r>
        <w:rPr>
          <w:b/>
          <w:bCs/>
          <w:color w:val="C0392B"/>
        </w:rPr>
        <w:t xml:space="preserve">[SECURITY/SUPPORT CONTACT EMAIL]</w:t>
      </w:r>
    </w:p>
    <w:p>
      <w:pPr>
        <w:pStyle w:val="ListParagraph"/>
        <w:numPr>
          <w:ilvl w:val="0"/>
          <w:numId w:val="2"/>
        </w:numPr>
        <w:spacing w:after="80" w:line="276"/>
      </w:pPr>
      <w:r>
        <w:t xml:space="preserve">Anthropic support/security contact: </w:t>
      </w:r>
      <w:r>
        <w:rPr>
          <w:b/>
          <w:bCs/>
          <w:color w:val="C0392B"/>
        </w:rPr>
        <w:t xml:space="preserve">[ANTHROPIC CONTACT — TO BE CONFIRMED IF/WHEN A DPA IS SIGNED]</w:t>
      </w:r>
    </w:p>
    <w:p>
      <w:pPr>
        <w:pStyle w:val="Heading1"/>
        <w:spacing w:after="160" w:before="320"/>
      </w:pPr>
      <w:r>
        <w:t xml:space="preserve">12. Technical Reference for Responders</w:t>
      </w:r>
    </w:p>
    <w:p>
      <w:pPr>
        <w:pStyle w:val="Heading2"/>
        <w:spacing w:after="120" w:before="240"/>
      </w:pPr>
      <w:r>
        <w:t xml:space="preserve">12.1 Firestore Collections</w:t>
      </w:r>
    </w:p>
    <w:p>
      <w:pPr>
        <w:pStyle w:val="ListParagraph"/>
        <w:numPr>
          <w:ilvl w:val="0"/>
          <w:numId w:val="2"/>
        </w:numPr>
        <w:spacing w:after="80" w:line="276"/>
      </w:pPr>
      <w:r>
        <w:t xml:space="preserve">students, observations, evaluations — Student Data, each document scoped by teacherId.</w:t>
      </w:r>
    </w:p>
    <w:p>
      <w:pPr>
        <w:pStyle w:val="ListParagraph"/>
        <w:numPr>
          <w:ilvl w:val="0"/>
          <w:numId w:val="2"/>
        </w:numPr>
        <w:spacing w:after="80" w:line="276"/>
      </w:pPr>
      <w:r>
        <w:t xml:space="preserve">auditLogs — automatic record of create/update/delete actions on the above three collections; primary evidence source during an investigation.</w:t>
      </w:r>
    </w:p>
    <w:p>
      <w:pPr>
        <w:pStyle w:val="ListParagraph"/>
        <w:numPr>
          <w:ilvl w:val="0"/>
          <w:numId w:val="2"/>
        </w:numPr>
        <w:spacing w:after="80" w:line="276"/>
      </w:pPr>
      <w:r>
        <w:t xml:space="preserve">rateLimits — internal counters for abuse prevention; not personal information.</w:t>
      </w:r>
    </w:p>
    <w:p>
      <w:pPr>
        <w:pStyle w:val="Heading2"/>
        <w:spacing w:after="120" w:before="240"/>
      </w:pPr>
      <w:r>
        <w:t xml:space="preserve">12.2 Cloud Functions</w:t>
      </w:r>
    </w:p>
    <w:p>
      <w:pPr>
        <w:pStyle w:val="ListParagraph"/>
        <w:numPr>
          <w:ilvl w:val="0"/>
          <w:numId w:val="2"/>
        </w:numPr>
        <w:spacing w:after="80" w:line="276"/>
      </w:pPr>
      <w:r>
        <w:t xml:space="preserve">generateEvaluation — calls the Anthropic API to draft report commentary (student names are not sent; see the Privacy Policy, Section 6).</w:t>
      </w:r>
    </w:p>
    <w:p>
      <w:pPr>
        <w:pStyle w:val="ListParagraph"/>
        <w:numPr>
          <w:ilvl w:val="0"/>
          <w:numId w:val="2"/>
        </w:numPr>
        <w:spacing w:after="80" w:line="276"/>
      </w:pPr>
      <w:r>
        <w:t xml:space="preserve">auditStudents, auditObservations, auditEvaluations — write to auditLogs.</w:t>
      </w:r>
    </w:p>
    <w:p>
      <w:pPr>
        <w:pStyle w:val="ListParagraph"/>
        <w:numPr>
          <w:ilvl w:val="0"/>
          <w:numId w:val="2"/>
        </w:numPr>
        <w:spacing w:after="80" w:line="276"/>
      </w:pPr>
      <w:r>
        <w:t xml:space="preserve">cascadeDeleteStudentData — removes a student’s observations/evaluations when the student record is deleted.</w:t>
      </w:r>
    </w:p>
    <w:p>
      <w:pPr>
        <w:pStyle w:val="ListParagraph"/>
        <w:numPr>
          <w:ilvl w:val="0"/>
          <w:numId w:val="2"/>
        </w:numPr>
        <w:spacing w:after="80" w:line="276"/>
      </w:pPr>
      <w:r>
        <w:t xml:space="preserve">purgeInactiveAccounts — scheduled daily; deletes accounts with no sign-in activity for two years.</w:t>
      </w:r>
    </w:p>
    <w:p>
      <w:pPr>
        <w:pStyle w:val="Heading2"/>
        <w:spacing w:after="120" w:before="240"/>
      </w:pPr>
      <w:r>
        <w:t xml:space="preserve">12.3 Common Actions</w:t>
      </w:r>
    </w:p>
    <w:p>
      <w:pPr>
        <w:pStyle w:val="ListParagraph"/>
        <w:numPr>
          <w:ilvl w:val="0"/>
          <w:numId w:val="2"/>
        </w:numPr>
        <w:spacing w:after="80" w:line="276"/>
      </w:pPr>
      <w:r>
        <w:t xml:space="preserve">Disable/reset a user: Firebase Console → Authentication.</w:t>
      </w:r>
    </w:p>
    <w:p>
      <w:pPr>
        <w:pStyle w:val="ListParagraph"/>
        <w:numPr>
          <w:ilvl w:val="0"/>
          <w:numId w:val="2"/>
        </w:numPr>
        <w:spacing w:after="80" w:line="276"/>
      </w:pPr>
      <w:r>
        <w:t xml:space="preserve">Rotate the Anthropic API key: firebase functions:secrets:set ANTHROPIC_API_KEY, then redeploy generateEvaluation.</w:t>
      </w:r>
    </w:p>
    <w:p>
      <w:pPr>
        <w:pStyle w:val="ListParagraph"/>
        <w:numPr>
          <w:ilvl w:val="0"/>
          <w:numId w:val="2"/>
        </w:numPr>
        <w:spacing w:after="80" w:line="276"/>
      </w:pPr>
      <w:r>
        <w:t xml:space="preserve">Deploy an emergency rules fix: firebase deploy --only firestore:rules.</w:t>
      </w:r>
    </w:p>
    <w:p>
      <w:pPr>
        <w:pStyle w:val="ListParagraph"/>
        <w:numPr>
          <w:ilvl w:val="0"/>
          <w:numId w:val="2"/>
        </w:numPr>
        <w:spacing w:after="80" w:line="276"/>
      </w:pPr>
      <w:r>
        <w:t xml:space="preserve">Review recent audit activity for one teacher: query the auditLogs collection where teacherId equals the affected user’s UID.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2026-08-10T14:27:11.401Z</dcterms:created>
  <dcterms:modified xsi:type="dcterms:W3CDTF">2026-08-10T14:27:11.402Z</dcterms:modified>
</cp:coreProperties>
</file>

<file path=docProps/custom.xml><?xml version="1.0" encoding="utf-8"?>
<Properties xmlns="http://schemas.openxmlformats.org/officeDocument/2006/custom-properties" xmlns:vt="http://schemas.openxmlformats.org/officeDocument/2006/docPropsVTypes"/>
</file>