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Inference as the New Frontier</w:t>
      </w:r>
    </w:p>
    <w:p>
      <w:pPr>
        <w:spacing w:after="80"/>
        <w:jc w:val="center"/>
      </w:pPr>
      <w:r>
        <w:rPr>
          <w:rFonts w:ascii="Arial" w:cs="Arial" w:eastAsia="Arial" w:hAnsi="Arial"/>
          <w:color w:val="2d3748"/>
          <w:sz w:val="24"/>
          <w:szCs w:val="24"/>
        </w:rPr>
        <w:t xml:space="preserve">KV Cache Engineering, Continuous Batching, Speculative Decoding,</w:t>
      </w:r>
    </w:p>
    <w:p>
      <w:pPr>
        <w:spacing w:after="80"/>
        <w:jc w:val="center"/>
      </w:pPr>
      <w:r>
        <w:rPr>
          <w:rFonts w:ascii="Arial" w:cs="Arial" w:eastAsia="Arial" w:hAnsi="Arial"/>
          <w:color w:val="2d3748"/>
          <w:sz w:val="24"/>
          <w:szCs w:val="24"/>
        </w:rPr>
        <w:t xml:space="preserve">Quantization, Prefill/Decode Disaggregation, MoE Serving,</w:t>
      </w:r>
    </w:p>
    <w:p>
      <w:pPr>
        <w:spacing w:after="200"/>
        <w:jc w:val="center"/>
      </w:pPr>
      <w:r>
        <w:rPr>
          <w:rFonts w:ascii="Arial" w:cs="Arial" w:eastAsia="Arial" w:hAnsi="Arial"/>
          <w:color w:val="2d3748"/>
          <w:sz w:val="24"/>
          <w:szCs w:val="24"/>
        </w:rPr>
        <w:t xml:space="preserve">and the Convergence with Reinforcement Learning</w:t>
      </w:r>
    </w:p>
    <w:p>
      <w:pPr>
        <w:spacing w:after="80"/>
        <w:jc w:val="center"/>
      </w:pPr>
      <w:r>
        <w:rPr>
          <w:rFonts w:ascii="Arial" w:cs="Arial" w:eastAsia="Arial" w:hAnsi="Arial"/>
          <w:i/>
          <w:iCs/>
          <w:color w:val="4a5568"/>
          <w:sz w:val="22"/>
          <w:szCs w:val="22"/>
        </w:rPr>
        <w:t xml:space="preserve">With Particular Emphasis on the Data-Movement Bottleneck</w:t>
      </w:r>
    </w:p>
    <w:p>
      <w:pPr>
        <w:spacing w:after="400"/>
        <w:jc w:val="center"/>
      </w:pPr>
      <w:r>
        <w:rPr>
          <w:rFonts w:ascii="Arial" w:cs="Arial" w:eastAsia="Arial" w:hAnsi="Arial"/>
          <w:color w:val="718096"/>
          <w:sz w:val="20"/>
          <w:szCs w:val="20"/>
        </w:rPr>
        <w:t xml:space="preserve">Technical Survey — August 2026</w:t>
      </w:r>
    </w:p>
    <w:p>
      <w:pPr>
        <w:pStyle w:val="Heading1"/>
      </w:pPr>
      <w:r>
        <w:t xml:space="preserve">Abstract</w:t>
      </w:r>
    </w:p>
    <w:p>
      <w:pPr>
        <w:spacing w:after="200"/>
      </w:pPr>
      <w:r>
        <w:rPr>
          <w:sz w:val="22"/>
          <w:szCs w:val="22"/>
        </w:rPr>
        <w:t xml:space="preserve">Inference has displaced training as the dominant consumer of AI compute and energy. Jeff Dean has explicitly identified inference as the next strategic battleground and has argued for specialized low-latency, low-energy inference hardware. The fundamental constraint is not arithmetic throughput but data movement: moving a value from high-bandwidth memory into a compute unit costs roughly 1,000× more energy than the multiplication itself. This survey examines the systems techniques that attack this bottleneck—KV-cache management and PagedAttention, continuous (iteration-level) batching, speculative decoding, quantization (weights and KV), prefill/decode disaggregation, and Mixture-of-Experts serving—and situates them within the broader trade-off between time-to-first-token (TTFT) and sustained throughput. We further argue that reinforcement-learning post-training has made inference and training inseparable: rollouts are themselves large-scale inference workloads. The paper concludes that the next order-of-magnitude gains will come from co-design of algorithms, memory hierarchies, and specialized inference silicon that minimize data movement and exploit extremely low-precision arithmetic.</w:t>
      </w:r>
    </w:p>
    <w:p>
      <w:pPr>
        <w:pStyle w:val="Heading1"/>
      </w:pPr>
      <w:r>
        <w:t xml:space="preserve">1. Introduction</w:t>
      </w:r>
    </w:p>
    <w:p>
      <w:pPr>
        <w:spacing w:after="200"/>
      </w:pPr>
      <w:r>
        <w:t xml:space="preserve">The economics of large language models have inverted. Training a frontier model remains expensive, yet the cumulative cost of serving that model—billions of prompts per day, agentic multi-step trajectories, retrieval-augmented generation, and long-context reasoning—now dominates both energy and capital expenditure. At NVIDIA GTC 2026 and in subsequent interviews, Jeff Dean observed that inference already accounts for the large majority of data-center power devoted to AI (estimates reach 90 %). He has called specialized inference hardware “the next key battleground,” noting that a 50× reduction in latency would unlock entirely new product categories for autonomous agents.</w:t>
      </w:r>
    </w:p>
    <w:p>
      <w:pPr>
        <w:spacing w:after="200"/>
      </w:pPr>
      <w:r>
        <w:t xml:space="preserve">Dean’s central quantitative claim is stark: a single multiply-accumulate operation may cost on the order of one picojoule, while moving the required operands from HBM into the arithmetic units costs approximately one thousand times more energy. Consequently, every systems optimization that reduces bytes transferred—whether by paging the KV cache, quantizing activations, overlapping compute with communication, or specializing silicon for low-precision matrix-vector products—directly attacks the true bottleneck.</w:t>
      </w:r>
    </w:p>
    <w:p>
      <w:pPr>
        <w:spacing w:after="200"/>
      </w:pPr>
      <w:r>
        <w:t xml:space="preserve">This paper organizes the modern inference stack around that insight. We begin with the data-movement problem, then examine the principal algorithmic and systems techniques that mitigate it, treat the TTFT-versus-throughput trade-off that every serving system must navigate, discuss the unique challenges of Mixture-of-Experts models, and finally show why reinforcement-learning rollouts have made efficient inference a prerequisite for continued capability gains.</w:t>
      </w:r>
    </w:p>
    <w:p>
      <w:pPr>
        <w:pStyle w:val="Heading1"/>
      </w:pPr>
      <w:r>
        <w:t xml:space="preserve">2. The Core Bottleneck: Data Movement</w:t>
      </w:r>
    </w:p>
    <w:p>
      <w:pPr>
        <w:spacing w:after="200"/>
      </w:pPr>
      <w:r>
        <w:t xml:space="preserve">Classical performance analysis (the “latency numbers every programmer should know”) emphasized disk seeks, cache misses, and network round-trips. For modern accelerators the dominant costs have moved on-chip and into the memory hierarchy. Dean has proposed updating that list for AI engineers: bandwidth from HBM to on-chip SRAM, bandwidth from SRAM to the multiply-accumulate array, energy per bit moved versus energy per FLOP, and the degradation of network efficiency when scaling from hundreds to tens of thousands of chips.</w:t>
      </w:r>
    </w:p>
    <w:p>
      <w:pPr>
        <w:spacing w:after="200"/>
      </w:pPr>
      <w:r>
        <w:t xml:space="preserve">The arithmetic intensity of autoregressive decoding is especially low. After the prompt has been processed (the prefill phase), each new token requires loading the entire model weight matrix (or the active experts of an MoE) and the growing KV cache, performing a matrix-vector product, and writing a new key/value pair. The compute itself is cheap; the data motion is not. Consequently, decode is almost always memory-bandwidth-bound, while prefill—where many tokens can be processed in parallel—is typically compute-bound. This phase dichotomy is the root of almost every subsequent systems design decision.</w:t>
      </w:r>
    </w:p>
    <w:p>
      <w:pPr>
        <w:spacing w:after="200"/>
      </w:pPr>
      <w:r>
        <w:t xml:space="preserve">Three optimization paths follow directly:</w:t>
      </w:r>
    </w:p>
    <w:p>
      <w:pPr>
        <w:pStyle w:val="ListParagraph"/>
        <w:numPr>
          <w:ilvl w:val="0"/>
          <w:numId w:val="2"/>
        </w:numPr>
      </w:pPr>
      <w:r>
        <w:rPr>
          <w:b/>
          <w:bCs/>
        </w:rPr>
        <w:t xml:space="preserve">Minimize data movement</w:t>
      </w:r>
      <w:r>
        <w:t xml:space="preserve"> — keep weights and KV entries as close to the arithmetic units as possible, reuse data across concurrent sequences, and avoid unnecessary transfers between host and device or between GPUs.</w:t>
      </w:r>
    </w:p>
    <w:p>
      <w:pPr>
        <w:pStyle w:val="ListParagraph"/>
        <w:numPr>
          <w:ilvl w:val="0"/>
          <w:numId w:val="2"/>
        </w:numPr>
      </w:pPr>
      <w:r>
        <w:rPr>
          <w:b/>
          <w:bCs/>
        </w:rPr>
        <w:t xml:space="preserve">Use extremely low-precision arithmetic</w:t>
      </w:r>
      <w:r>
        <w:t xml:space="preserve"> — FP8, NVFP4, and even lower formats reduce both the number of bytes moved and the energy of the arithmetic itself; specialized hardware can hard-wire only the precisions that are actually needed.</w:t>
      </w:r>
    </w:p>
    <w:p>
      <w:pPr>
        <w:pStyle w:val="ListParagraph"/>
        <w:numPr>
          <w:ilvl w:val="0"/>
          <w:numId w:val="2"/>
        </w:numPr>
        <w:spacing w:after="200"/>
      </w:pPr>
      <w:r>
        <w:rPr>
          <w:b/>
          <w:bCs/>
        </w:rPr>
        <w:t xml:space="preserve">Design high-performance, low-energy inference chips</w:t>
      </w:r>
      <w:r>
        <w:t xml:space="preserve"> — systolic arrays, in-memory compute, 3-D stacked memory, and simplified interconnects that trade generality for efficiency on the matrix-vector and attention kernels that dominate decode.</w:t>
      </w:r>
    </w:p>
    <w:p>
      <w:pPr>
        <w:pStyle w:val="Heading1"/>
      </w:pPr>
      <w:r>
        <w:t xml:space="preserve">3. KV Cache and Paged Attention</w:t>
      </w:r>
    </w:p>
    <w:p>
      <w:pPr>
        <w:spacing w:after="200"/>
      </w:pPr>
      <w:r>
        <w:t xml:space="preserve">The key-value (KV) cache is the variable memory bill of autoregressive inference. For every layer and every past token the model stores the projected keys and values so that attention can be computed in linear rather than quadratic time. The memory footprint is</w:t>
      </w:r>
    </w:p>
    <w:p>
      <w:pPr>
        <w:spacing w:after="120" w:before="120"/>
        <w:jc w:val="center"/>
      </w:pPr>
      <w:r>
        <w:rPr>
          <w:i/>
          <w:iCs/>
        </w:rPr>
        <w:t xml:space="preserve">KV bytes = 2 × L × H_kv × d_head × S × bytes_per_element</w:t>
      </w:r>
    </w:p>
    <w:p>
      <w:pPr>
        <w:spacing w:after="200"/>
      </w:pPr>
      <w:r>
        <w:t xml:space="preserve">where L is the number of layers, H_kv the number of key/value heads (often reduced by grouped-query or multi-query attention), d_head the head dimension, and S the current sequence length. For a 70 B model with GQA the cost is typically hundreds of kilobytes per token; at 128 k context a single request can occupy tens of gigabytes.</w:t>
      </w:r>
    </w:p>
    <w:p>
      <w:pPr>
        <w:pStyle w:val="Heading2"/>
      </w:pPr>
      <w:r>
        <w:t xml:space="preserve">3.1 PagedAttention</w:t>
      </w:r>
    </w:p>
    <w:p>
      <w:pPr>
        <w:spacing w:after="200"/>
      </w:pPr>
      <w:r>
        <w:t xml:space="preserve">Early serving systems allocated a contiguous tensor sized for the maximum possible sequence length of each request. Variable prompt and generation lengths produced massive internal and external fragmentation; effective utilization of the reserved KV memory often fell to 30–50 %. PagedAttention (vLLM, 2023) applies the classic operating-system insight of virtual memory: the KV cache is divided into fixed-size blocks (commonly 16 tokens) that are allocated on demand and linked by a per-sequence block table. Physical blocks need not be contiguous. Fragmentation drops below 4 %, concurrent batch size rises dramatically, and throughput on realistic traces improves by factors of 2–24× relative to naïve contiguous allocation.</w:t>
      </w:r>
    </w:p>
    <w:p>
      <w:pPr>
        <w:pStyle w:val="Heading2"/>
      </w:pPr>
      <w:r>
        <w:t xml:space="preserve">3.2 Prefix Caching and Hierarchical Stores</w:t>
      </w:r>
    </w:p>
    <w:p>
      <w:pPr>
        <w:spacing w:after="200"/>
      </w:pPr>
      <w:r>
        <w:t xml:space="preserve">When many requests share a common system prompt, few-shot examples, or retrieved document prefix, the corresponding KV blocks can be computed once and reused. RadixAttention (SGLang) organizes these shared prefixes in a radix tree, achieving hit rates above 90 % on chat workloads and further reducing both TTFT and memory pressure. More advanced systems extend the hierarchy beyond HBM—offloading cold blocks to host DRAM or even NVMe, prefetching predicted important blocks with the help of speculative decoding, and sharing KV state across nodes via RDMA—turning the KV cache into a first-class distributed memory object.</w:t>
      </w:r>
    </w:p>
    <w:p>
      <w:pPr>
        <w:pStyle w:val="Heading1"/>
      </w:pPr>
      <w:r>
        <w:t xml:space="preserve">4. Continuous Batching</w:t>
      </w:r>
    </w:p>
    <w:p>
      <w:pPr>
        <w:spacing w:after="200"/>
      </w:pPr>
      <w:r>
        <w:t xml:space="preserve">Static batching waits until every sequence in the current batch has finished generation before admitting new requests. Because generation lengths are highly variable, GPUs spend a large fraction of time under-utilized. Orca (OSDI 2022) introduced iteration-level (continuous) batching: after every forward pass the scheduler examines all active sequences, retires those that have emitted an end-of-sequence token, and immediately inserts newly arrived requests into the freed slots. Combined with PagedAttention, continuous batching is now table-stakes; production engines routinely sustain 80–95 % GPU utilization versus 30–50 % under static batching, delivering multi-fold throughput gains on the same hardware.</w:t>
      </w:r>
    </w:p>
    <w:p>
      <w:pPr>
        <w:spacing w:after="200"/>
      </w:pPr>
      <w:r>
        <w:t xml:space="preserve">Chunked (or split-fuse) prefill further refines the schedule: a long prompt is broken into smaller chunks that are interleaved with ongoing decode steps, preventing a single long prefill from stalling the entire decode pipeline and inflating inter-token latency.</w:t>
      </w:r>
    </w:p>
    <w:p>
      <w:pPr>
        <w:pStyle w:val="Heading1"/>
      </w:pPr>
      <w:r>
        <w:t xml:space="preserve">5. Speculative Decoding</w:t>
      </w:r>
    </w:p>
    <w:p>
      <w:pPr>
        <w:spacing w:after="200"/>
      </w:pPr>
      <w:r>
        <w:t xml:space="preserve">Because decode is memory-bandwidth-bound, the marginal cost of verifying several tokens in a single forward pass is only marginally higher than the cost of generating one token. Speculative decoding exploits this asymmetry. A cheap draft model (or a set of extra heads attached to the target model) proposes K candidate tokens; the target model verifies them in parallel with a single pass. Accepted tokens are emitted “for free”; rejected tokens fall back to ordinary sampling. The output distribution remains identical to standard autoregressive decoding (for rejection-sampling variants) or is nearly identical for trained multi-head methods.</w:t>
      </w:r>
    </w:p>
    <w:p>
      <w:pPr>
        <w:spacing w:after="200"/>
      </w:pPr>
      <w:r>
        <w:t xml:space="preserve">Contemporary techniques include:</w:t>
      </w:r>
    </w:p>
    <w:p>
      <w:pPr>
        <w:pStyle w:val="ListParagraph"/>
        <w:numPr>
          <w:ilvl w:val="0"/>
          <w:numId w:val="3"/>
        </w:numPr>
      </w:pPr>
      <w:r>
        <w:rPr>
          <w:b/>
          <w:bCs/>
        </w:rPr>
        <w:t xml:space="preserve">Medusa</w:t>
      </w:r>
      <w:r>
        <w:t xml:space="preserve"> — multiple lightweight heads on the target model that predict several future tokens in parallel.</w:t>
      </w:r>
    </w:p>
    <w:p>
      <w:pPr>
        <w:pStyle w:val="ListParagraph"/>
        <w:numPr>
          <w:ilvl w:val="0"/>
          <w:numId w:val="3"/>
        </w:numPr>
      </w:pPr>
      <w:r>
        <w:rPr>
          <w:b/>
          <w:bCs/>
        </w:rPr>
        <w:t xml:space="preserve">EAGLE / EAGLE-2 / EAGLE-3</w:t>
      </w:r>
      <w:r>
        <w:t xml:space="preserve"> — feature-level or token-level autoregressive draft models that reuse intermediate representations of the target, often with dynamic draft trees; speed-ups of 2–4× (and higher on later variants) are common.</w:t>
      </w:r>
    </w:p>
    <w:p>
      <w:pPr>
        <w:pStyle w:val="ListParagraph"/>
        <w:numPr>
          <w:ilvl w:val="0"/>
          <w:numId w:val="3"/>
        </w:numPr>
        <w:spacing w:after="200"/>
      </w:pPr>
      <w:r>
        <w:rPr>
          <w:b/>
          <w:bCs/>
        </w:rPr>
        <w:t xml:space="preserve">Prompt-lookup / n-gram methods</w:t>
      </w:r>
      <w:r>
        <w:t xml:space="preserve"> — training-free retrieval of continuations already present in the prompt or generation history.</w:t>
      </w:r>
    </w:p>
    <w:p>
      <w:pPr>
        <w:spacing w:after="200"/>
      </w:pPr>
      <w:r>
        <w:t xml:space="preserve">Speculative decoding is especially valuable for low-batch, latency-sensitive workloads; at very high concurrency the extra verification traffic can become counterproductive, particularly for MoE models whose draft tokens may activate many more experts.</w:t>
      </w:r>
    </w:p>
    <w:p>
      <w:pPr>
        <w:pStyle w:val="Heading1"/>
      </w:pPr>
      <w:r>
        <w:t xml:space="preserve">6. Quantization</w:t>
      </w:r>
    </w:p>
    <w:p>
      <w:pPr>
        <w:spacing w:after="200"/>
      </w:pPr>
      <w:r>
        <w:t xml:space="preserve">Quantization reduces the number of bytes that must be moved. Weight-only quantization (GPTQ, AWQ, etc.) to INT4 or FP8 halves or quarters the model footprint and correspondingly reduces weight-loading bandwidth during decode. Activation and KV-cache quantization yield still larger system-level gains because the KV cache often dominates memory capacity for long-context or high-concurrency serving.</w:t>
      </w:r>
    </w:p>
    <w:p>
      <w:pPr>
        <w:spacing w:after="200"/>
      </w:pPr>
      <w:r>
        <w:t xml:space="preserve">FP8 KV cache is now production-standard on modern engines (vLLM, SGLang, TensorRT-LLM). It roughly doubles the number of concurrent sequences that fit in HBM with negligible quality loss on most workloads. More aggressive 4-bit KV schemes (NVFP4, UltraQuant, and research methods such as KIVI) further compress the cache; they require careful scaling, rotation, or asymmetric treatment of keys versus values, and quality remains workload-dependent. On Blackwell-class hardware, native low-precision tensor cores make the dequantization overhead small enough that end-to-end throughput improves substantially.</w:t>
      </w:r>
    </w:p>
    <w:p>
      <w:pPr>
        <w:spacing w:after="200"/>
      </w:pPr>
      <w:r>
        <w:t xml:space="preserve">From the data-movement perspective, every bit eliminated from weights or KV entries is a direct energy saving. Dean’s advocacy for “extremely low-precision arithmetic” and for hard-wiring only the needed formats into silicon is precisely the hardware counterpart of these software techniques.</w:t>
      </w:r>
    </w:p>
    <w:p>
      <w:pPr>
        <w:pStyle w:val="Heading1"/>
      </w:pPr>
      <w:r>
        <w:t xml:space="preserve">7. Prefill / Decode Disaggregation</w:t>
      </w:r>
    </w:p>
    <w:p>
      <w:pPr>
        <w:spacing w:after="200"/>
      </w:pPr>
      <w:r>
        <w:t xml:space="preserve">Because prefill is compute-bound and decode is memory-bound, colocating both phases on the same GPU set forces a compromise in batch size, parallelism strategy, and hardware choice. DistServe (OSDI 2024), Splitwise, and subsequent systems physically separate the two phases:</w:t>
      </w:r>
    </w:p>
    <w:p>
      <w:pPr>
        <w:pStyle w:val="ListParagraph"/>
        <w:numPr>
          <w:ilvl w:val="0"/>
          <w:numId w:val="4"/>
        </w:numPr>
      </w:pPr>
      <w:r>
        <w:rPr>
          <w:b/>
          <w:bCs/>
        </w:rPr>
        <w:t xml:space="preserve">Prefill workers</w:t>
      </w:r>
      <w:r>
        <w:t xml:space="preserve"> are provisioned for high FLOPS, process prompts (often with chunking), and emit KV caches.</w:t>
      </w:r>
    </w:p>
    <w:p>
      <w:pPr>
        <w:pStyle w:val="ListParagraph"/>
        <w:numPr>
          <w:ilvl w:val="0"/>
          <w:numId w:val="4"/>
        </w:numPr>
        <w:spacing w:after="200"/>
      </w:pPr>
      <w:r>
        <w:rPr>
          <w:b/>
          <w:bCs/>
        </w:rPr>
        <w:t xml:space="preserve">Decode workers</w:t>
      </w:r>
      <w:r>
        <w:t xml:space="preserve"> are provisioned for high memory bandwidth and large batch sizes; they receive the KV state (via NVLink, RDMA, or CXL) and generate tokens.</w:t>
      </w:r>
    </w:p>
    <w:p>
      <w:pPr>
        <w:spacing w:after="200"/>
      </w:pPr>
      <w:r>
        <w:t xml:space="preserve">Disaggregation eliminates interference, allows independent scaling of the two resource pools, and can improve goodput (requests that meet both TTFT and TPOT SLOs) by several times. The principal engineering cost is the transfer of the KV cache; careful placement, compression, and overlap of communication with computation are required. Hybrid designs that dynamically decide whether to aggregate or disaggregate on a per-request basis are an active research direction.</w:t>
      </w:r>
    </w:p>
    <w:p>
      <w:pPr>
        <w:pStyle w:val="Heading1"/>
      </w:pPr>
      <w:r>
        <w:t xml:space="preserve">8. TTFT versus Throughput Trade-offs</w:t>
      </w:r>
    </w:p>
    <w:p>
      <w:pPr>
        <w:spacing w:after="200"/>
      </w:pPr>
      <w:r>
        <w:t xml:space="preserve">End-to-end latency decomposes as</w:t>
      </w:r>
    </w:p>
    <w:p>
      <w:pPr>
        <w:spacing w:after="120" w:before="120"/>
        <w:jc w:val="center"/>
      </w:pPr>
      <w:r>
        <w:rPr>
          <w:i/>
          <w:iCs/>
        </w:rPr>
        <w:t xml:space="preserve">Latency = TTFT + TPOT × (output tokens)</w:t>
      </w:r>
    </w:p>
    <w:p>
      <w:pPr>
        <w:spacing w:after="200"/>
      </w:pPr>
      <w:r>
        <w:t xml:space="preserve">TTFT is dominated by queueing delay plus prefill compute; TPOT (time per output token) is dominated by decode bandwidth and batch size. Raising concurrency improves aggregate tokens-per-second and reduces cost per token, yet lengthens both TTFT (longer queues) and TPOT (larger KV working sets compete for bandwidth). Interactive chat therefore prefers modest batch sizes and aggressive speculation; offline batch jobs prefer maximum packing. Agentic workloads that interleave short reactive steps with long reasoning traces sit in between and benefit from disaggregation and priority scheduling.</w:t>
      </w:r>
    </w:p>
    <w:p>
      <w:pPr>
        <w:spacing w:after="200"/>
      </w:pPr>
      <w:r>
        <w:t xml:space="preserve">Every technique discussed above moves the Pareto frontier of this trade-off: PagedAttention and continuous batching raise the achievable concurrency for a given memory budget; speculation and quantization lower TPOT; disaggregation decouples the two axes so that TTFT and TPOT can be optimized more independently.</w:t>
      </w:r>
    </w:p>
    <w:p>
      <w:pPr>
        <w:pStyle w:val="Heading1"/>
      </w:pPr>
      <w:r>
        <w:t xml:space="preserve">9. Serving Mixture-of-Experts Models</w:t>
      </w:r>
    </w:p>
    <w:p>
      <w:pPr>
        <w:spacing w:after="200"/>
      </w:pPr>
      <w:r>
        <w:t xml:space="preserve">MoE architectures activate only a sparse subset of experts per token, offering higher capacity for a given FLOP budget. At inference time the sparsity creates new data-movement problems:</w:t>
      </w:r>
    </w:p>
    <w:p>
      <w:pPr>
        <w:pStyle w:val="ListParagraph"/>
        <w:numPr>
          <w:ilvl w:val="0"/>
          <w:numId w:val="3"/>
        </w:numPr>
      </w:pPr>
      <w:r>
        <w:t xml:space="preserve">Expert weights dominate the memory footprint; inactive experts may be offloaded, but fetching them on demand incurs host–device or inter-GPU transfers.</w:t>
      </w:r>
    </w:p>
    <w:p>
      <w:pPr>
        <w:pStyle w:val="ListParagraph"/>
        <w:numPr>
          <w:ilvl w:val="0"/>
          <w:numId w:val="3"/>
        </w:numPr>
      </w:pPr>
      <w:r>
        <w:t xml:space="preserve">Routing is dynamic and often imbalanced; hot experts become bottlenecks while cold experts under-utilize their assigned devices.</w:t>
      </w:r>
    </w:p>
    <w:p>
      <w:pPr>
        <w:pStyle w:val="ListParagraph"/>
        <w:numPr>
          <w:ilvl w:val="0"/>
          <w:numId w:val="3"/>
        </w:numPr>
        <w:spacing w:after="200"/>
      </w:pPr>
      <w:r>
        <w:t xml:space="preserve">All-to-all communication for expert parallelism is bandwidth- and latency-sensitive; the number of all-to-alls scales with the depth of the MoE stack.</w:t>
      </w:r>
    </w:p>
    <w:p>
      <w:pPr>
        <w:spacing w:after="200"/>
      </w:pPr>
      <w:r>
        <w:t xml:space="preserve">Prefill tends to activate experts more densely than decode, so a uniform caching policy is suboptimal. Phase-aware prefetching, expert replication of hot experts, asynchronous expert parallelism that removes barrier-style synchronization, and wide expert-parallel deployments with load-balancing (EPLB) are among the techniques used in production stacks. Speculative decoding must also be applied carefully: draft tokens can collectively activate far more experts than a single token, inflating verification cost.</w:t>
      </w:r>
    </w:p>
    <w:p>
      <w:pPr>
        <w:pStyle w:val="Heading1"/>
      </w:pPr>
      <w:r>
        <w:t xml:space="preserve">10. Inference and Reinforcement Learning: Rollouts Are Inference</w:t>
      </w:r>
    </w:p>
    <w:p>
      <w:pPr>
        <w:spacing w:after="200"/>
      </w:pPr>
      <w:r>
        <w:t xml:space="preserve">Modern post-training pipelines (RLHF, RLAIF, GRPO, process-supervised RL, and inference-time scaling methods) spend the overwhelming majority of their wall-clock time and energy generating rollouts—i.e., performing inference. A single policy-update step may be preceded by tens or hundreds of sampled trajectories, each of which is an autoregressive generation, often with tool use or environment interaction. Consequently, every improvement in inference throughput, latency, or energy efficiency directly accelerates the outer RL loop.</w:t>
      </w:r>
    </w:p>
    <w:p>
      <w:pPr>
        <w:spacing w:after="200"/>
      </w:pPr>
      <w:r>
        <w:t xml:space="preserve">Conversely, the requirements of RL shape inference-system design. Long-tail generation lengths, the need for diverse samples, partial rollouts that can be resumed, and the desire to over-provision generation and then down-sample informative trajectories all favor continuous batching, paged memory, and flexible scheduling. Inference-time compute scaling (best-of-N, particle filtering, Monte-Carlo tree search over thoughts, etc.) further multiplies the volume of inference that must be performed for a single final answer. The boundary between “training” and “inference” has therefore become porous: the systems that serve production traffic are the same systems that generate the data on which the next policy is trained.</w:t>
      </w:r>
    </w:p>
    <w:p>
      <w:pPr>
        <w:pStyle w:val="Heading1"/>
      </w:pPr>
      <w:r>
        <w:t xml:space="preserve">11. Toward Specialized Inference Hardware</w:t>
      </w:r>
    </w:p>
    <w:p>
      <w:pPr>
        <w:spacing w:after="200"/>
      </w:pPr>
      <w:r>
        <w:t xml:space="preserve">Software techniques can only amortize or reduce data movement; they cannot change the fundamental energy cost of moving a bit across a given distance in a given process technology. Dean’s prescription is therefore specialization:</w:t>
      </w:r>
    </w:p>
    <w:p>
      <w:pPr>
        <w:pStyle w:val="ListParagraph"/>
        <w:numPr>
          <w:ilvl w:val="0"/>
          <w:numId w:val="3"/>
        </w:numPr>
      </w:pPr>
      <w:r>
        <w:t xml:space="preserve">Architectures whose on-chip memory hierarchy and interconnect are sized exactly for the working sets of attention and low-precision GEMV.</w:t>
      </w:r>
    </w:p>
    <w:p>
      <w:pPr>
        <w:pStyle w:val="ListParagraph"/>
        <w:numPr>
          <w:ilvl w:val="0"/>
          <w:numId w:val="3"/>
        </w:numPr>
      </w:pPr>
      <w:r>
        <w:t xml:space="preserve">Hard-wired support for the small set of numeric formats that matter (FP8, FP4, perhaps custom block-scaled formats), eliminating the energy and area overhead of general-purpose datapaths.</w:t>
      </w:r>
    </w:p>
    <w:p>
      <w:pPr>
        <w:pStyle w:val="ListParagraph"/>
        <w:numPr>
          <w:ilvl w:val="0"/>
          <w:numId w:val="3"/>
        </w:numPr>
      </w:pPr>
      <w:r>
        <w:t xml:space="preserve">3-D stacking or advanced packaging that places memory directly atop compute, collapsing the distance data must travel.</w:t>
      </w:r>
    </w:p>
    <w:p>
      <w:pPr>
        <w:pStyle w:val="ListParagraph"/>
        <w:numPr>
          <w:ilvl w:val="0"/>
          <w:numId w:val="3"/>
        </w:numPr>
        <w:spacing w:after="200"/>
      </w:pPr>
      <w:r>
        <w:t xml:space="preserve">Possibly distinct micro-architectures for the prefill (compute-heavy) and decode (bandwidth-heavy) phases, mirroring the software disaggregation already underway.</w:t>
      </w:r>
    </w:p>
    <w:p>
      <w:pPr>
        <w:spacing w:after="200"/>
      </w:pPr>
      <w:r>
        <w:t xml:space="preserve">Early commercial examples—Groq’s LPU, Cerebras wafer-scale engines, SambaNova, d-Matrix in-memory designs, and Google’s own evolution of the TPU toward inference—illustrate the direction. The historical parallel is instructive: the first TPU was itself an inference accelerator; subsequent generations added training capability. The pendulum is swinging back toward inference specialization, now with far tighter latency and energy targets driven by agentic workloads that demand thousands of tokens per second per user.</w:t>
      </w:r>
    </w:p>
    <w:p>
      <w:pPr>
        <w:pStyle w:val="Heading1"/>
      </w:pPr>
      <w:r>
        <w:t xml:space="preserve">12. Conclusion</w:t>
      </w:r>
    </w:p>
    <w:p>
      <w:pPr>
        <w:spacing w:after="200"/>
      </w:pPr>
      <w:r>
        <w:t xml:space="preserve">Inference is no longer a secondary concern that can be optimized after the model is trained. It is the dominant workload, the primary energy consumer, and—because of the centrality of rollouts—an integral part of the training loop itself. The core physical bottleneck is data movement, whose energy cost exceeds that of arithmetic by three orders of magnitude. The software stack that has emerged to combat this bottleneck—PagedAttention and hierarchical KV management, continuous batching, speculative decoding, aggressive quantization, and prefill/decode disaggregation—has already delivered order-of-magnitude improvements in throughput and cost. Mixture-of-Experts models add further pressure on routing and expert placement, while reinforcement learning multiplies the volume of inference that must be performed.</w:t>
      </w:r>
    </w:p>
    <w:p>
      <w:pPr>
        <w:spacing w:after="200"/>
      </w:pPr>
      <w:r>
        <w:t xml:space="preserve">The next leap will require hardware that is designed from the ground up for low-latency, low-energy inference: minimizing data movement, embracing extremely low precision, and specializing the datapath for the kernels that actually matter. As Dean has emphasized, the payoff is not merely cheaper tokens; it is the possibility of agents that can think continuously, for hours or days, at latencies that feel instantaneous to human users. Inference is the battleground on which that future will be won or lost.</w:t>
      </w:r>
    </w:p>
    <w:p>
      <w:pPr>
        <w:pStyle w:val="Heading1"/>
      </w:pPr>
      <w:r>
        <w:t xml:space="preserve">Selected References and Further Reading</w:t>
      </w:r>
    </w:p>
    <w:p>
      <w:pPr>
        <w:spacing w:after="80"/>
      </w:pPr>
      <w:r>
        <w:rPr>
          <w:sz w:val="20"/>
          <w:szCs w:val="20"/>
        </w:rPr>
        <w:t xml:space="preserve">Kwon et al., “Efficient Memory Management for Large Language Model Serving with PagedAttention,” SOSP 2023 (vLLM).</w:t>
      </w:r>
    </w:p>
    <w:p>
      <w:pPr>
        <w:spacing w:after="80"/>
      </w:pPr>
      <w:r>
        <w:rPr>
          <w:sz w:val="20"/>
          <w:szCs w:val="20"/>
        </w:rPr>
        <w:t xml:space="preserve">Yu et al., “Orca: A Distributed Serving System for Transformer-Based Generative Models,” OSDI 2022.</w:t>
      </w:r>
    </w:p>
    <w:p>
      <w:pPr>
        <w:spacing w:after="80"/>
      </w:pPr>
      <w:r>
        <w:rPr>
          <w:sz w:val="20"/>
          <w:szCs w:val="20"/>
        </w:rPr>
        <w:t xml:space="preserve">Zhong et al., “DistServe: Disaggregating Prefill and Decoding for Goodput-optimized Large Language Model Serving,” OSDI 2024.</w:t>
      </w:r>
    </w:p>
    <w:p>
      <w:pPr>
        <w:spacing w:after="80"/>
      </w:pPr>
      <w:r>
        <w:rPr>
          <w:sz w:val="20"/>
          <w:szCs w:val="20"/>
        </w:rPr>
        <w:t xml:space="preserve">Li et al., EAGLE / EAGLE-2 / EAGLE-3 series on speculative decoding.</w:t>
      </w:r>
    </w:p>
    <w:p>
      <w:pPr>
        <w:spacing w:after="80"/>
      </w:pPr>
      <w:r>
        <w:rPr>
          <w:sz w:val="20"/>
          <w:szCs w:val="20"/>
        </w:rPr>
        <w:t xml:space="preserve">Cai et al., “Medusa: Simple LLM Inference Acceleration Framework with Multiple Decoding Heads.”</w:t>
      </w:r>
    </w:p>
    <w:p>
      <w:pPr>
        <w:spacing w:after="80"/>
      </w:pPr>
      <w:r>
        <w:rPr>
          <w:sz w:val="20"/>
          <w:szCs w:val="20"/>
        </w:rPr>
        <w:t xml:space="preserve">Agrawal et al., Sarathi-Serve / chunked prefill work.</w:t>
      </w:r>
    </w:p>
    <w:p>
      <w:pPr>
        <w:spacing w:after="80"/>
      </w:pPr>
      <w:r>
        <w:rPr>
          <w:sz w:val="20"/>
          <w:szCs w:val="20"/>
        </w:rPr>
        <w:t xml:space="preserve">Jeff Dean interviews and GTC 2026 remarks on inference hardware, data-movement energy, and specialization (2025–2026).</w:t>
      </w:r>
    </w:p>
    <w:p>
      <w:pPr>
        <w:spacing w:after="80"/>
      </w:pPr>
      <w:r>
        <w:rPr>
          <w:sz w:val="20"/>
          <w:szCs w:val="20"/>
        </w:rPr>
        <w:t xml:space="preserve">Survey literature on MoE inference optimization and KV-cache management (2024–2026 arXiv corpus).</w:t>
      </w:r>
    </w:p>
    <w:p>
      <w:pPr>
        <w:spacing w:after="80"/>
      </w:pPr>
      <w:r>
        <w:rPr>
          <w:sz w:val="20"/>
          <w:szCs w:val="20"/>
        </w:rPr>
        <w:t xml:space="preserve">Recent work on rollout strategies for LLM reinforcement learning (GFCR taxonomy and related papers).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spacing w:before="120"/>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spacing w:after="120"/>
    </w:pPr>
    <w:r>
      <w:rPr>
        <w:rFonts w:ascii="Arial" w:cs="Arial" w:eastAsia="Arial" w:hAnsi="Arial"/>
        <w:i/>
        <w:iCs/>
        <w:color w:val="4a5568"/>
        <w:sz w:val="18"/>
        <w:szCs w:val="18"/>
      </w:rPr>
      <w:t xml:space="preserve">Inference Systems: KV Cache, Batching, Speculation &amp; Beyond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b6cb0"/>
      <w:sz w:val="24"/>
      <w:szCs w:val="24"/>
    </w:rPr>
  </w:style>
  <w:style w:type="paragraph" w:styleId="Title">
    <w:name w:val="Title"/>
    <w:basedOn w:val="Normal"/>
    <w:qFormat/>
    <w:pPr>
      <w:spacing w:after="200" w:before="0"/>
      <w:jc w:val="center"/>
    </w:pPr>
    <w:rPr>
      <w:rFonts w:ascii="Arial" w:cs="Arial" w:eastAsia="Arial" w:hAnsi="Arial"/>
      <w:b/>
      <w:bCs/>
      <w:color w:val="1a202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2026-08-17T03:04:30.342Z</dcterms:created>
  <dcterms:modified xsi:type="dcterms:W3CDTF">2026-08-17T03:04:30.342Z</dcterms:modified>
</cp:coreProperties>
</file>

<file path=docProps/custom.xml><?xml version="1.0" encoding="utf-8"?>
<Properties xmlns="http://schemas.openxmlformats.org/officeDocument/2006/custom-properties" xmlns:vt="http://schemas.openxmlformats.org/officeDocument/2006/docPropsVTypes"/>
</file>