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420" w:lineRule="exact"/>
      </w:pPr>
      <w:r>
        <w:rPr>
          <w:b/>
          <w:color w:val="0C111D"/>
          <w:sz w:val="38"/>
        </w:rPr>
        <w:t>PRINCE CHAUHAN</w:t>
      </w:r>
    </w:p>
    <w:p>
      <w:pPr>
        <w:spacing w:before="0" w:after="20"/>
      </w:pPr>
      <w:r>
        <w:rPr>
          <w:b/>
          <w:color w:val="193B56"/>
          <w:sz w:val="18"/>
        </w:rPr>
        <w:t>QUANTITATIVE RESEARCHER | SYSTEMATIC DERIVATIVES &amp; STATISTICAL ARBITRAGE</w:t>
      </w:r>
    </w:p>
    <w:p>
      <w:pPr>
        <w:spacing w:before="0" w:after="20"/>
      </w:pPr>
      <w:r>
        <w:rPr>
          <w:sz w:val="17"/>
        </w:rPr>
        <w:t>New Delhi, India  |  +91-9650765343  |  pchauhanrajput.pc@gmail.com  |  github.com/pchauhanrajputpc-sketch</w:t>
      </w:r>
    </w:p>
    <w:p>
      <w:pPr>
        <w:spacing w:before="0" w:after="80"/>
        <w:pBdr>
          <w:bottom w:val="single" w:sz="4" w:space="2" w:color="CBD5E1"/>
        </w:pBdr>
      </w:pPr>
      <w:r>
        <w:rPr>
          <w:b/>
          <w:color w:val="0284C7"/>
          <w:sz w:val="17"/>
        </w:rPr>
        <w:t>SEBI Registered Research Analyst</w:t>
      </w:r>
    </w:p>
    <w:p>
      <w:pPr>
        <w:keepNext/>
        <w:spacing w:before="100" w:after="40"/>
        <w:pBdr>
          <w:bottom w:val="single" w:sz="4" w:space="2" w:color="193B56"/>
        </w:pBdr>
      </w:pPr>
      <w:r>
        <w:rPr>
          <w:b/>
          <w:color w:val="193B56"/>
          <w:sz w:val="19"/>
        </w:rPr>
        <w:t>PROFESSIONAL SUMMARY</w:t>
      </w:r>
    </w:p>
    <w:p>
      <w:pPr>
        <w:spacing w:before="20" w:after="60" w:line="228" w:lineRule="exact"/>
      </w:pPr>
      <w:r>
        <w:rPr>
          <w:sz w:val="17"/>
        </w:rPr>
        <w:t>Quantitative Researcher and Systematic Derivatives Strategist with 9+ years of experience developing, validating, and deploying options volatility and statistical-arbitrage models across Indian (NSE) and US benchmark derivatives. Specializes in volatility surface spline modeling, Johansen cointegration, market-regime classification, and microstructure-aware execution using point-in-time Python research architectures incorporating explicit transaction costs, STT, fill slippage, margin constraints, walk-forward optimization, and Monte Carlo stress testing.</w:t>
      </w:r>
    </w:p>
    <w:p>
      <w:pPr>
        <w:keepNext/>
        <w:spacing w:before="100" w:after="40"/>
        <w:pBdr>
          <w:bottom w:val="single" w:sz="4" w:space="2" w:color="193B56"/>
        </w:pBdr>
      </w:pPr>
      <w:r>
        <w:rPr>
          <w:b/>
          <w:color w:val="193B56"/>
          <w:sz w:val="19"/>
        </w:rPr>
        <w:t>PROFESSIONAL EXPERIENCE</w:t>
      </w:r>
    </w:p>
    <w:p>
      <w:pPr>
        <w:keepNext/>
        <w:tabs>
          <w:tab w:pos="10466" w:val="right"/>
        </w:tabs>
        <w:spacing w:before="50" w:after="10"/>
      </w:pPr>
      <w:r>
        <w:rPr>
          <w:b/>
          <w:sz w:val="18"/>
        </w:rPr>
        <w:t>SMC Global Securities Ltd.</w:t>
      </w:r>
      <w:r>
        <w:rPr>
          <w:i/>
          <w:sz w:val="17"/>
        </w:rPr>
        <w:t xml:space="preserve"> — Senior Quantitative Analyst, Systematic Strategies &amp; Quant</w:t>
      </w:r>
      <w:r>
        <w:rPr>
          <w:b/>
          <w:sz w:val="17"/>
        </w:rPr>
        <w:tab/>
        <w:t>Dec 2024 - Present</w:t>
      </w:r>
    </w:p>
    <w:p>
      <w:pPr>
        <w:spacing w:before="0" w:after="24" w:line="220" w:lineRule="exact"/>
        <w:ind w:left="180" w:hanging="180"/>
      </w:pPr>
      <w:r>
        <w:rPr>
          <w:b/>
          <w:color w:val="193B56"/>
          <w:sz w:val="17"/>
        </w:rPr>
        <w:t xml:space="preserve">• </w:t>
      </w:r>
      <w:r>
        <w:rPr>
          <w:sz w:val="17"/>
        </w:rPr>
        <w:t>Develop causal 1-minute execution loops and point-in-time research pipelines for automated intraday and multi-day options strategies across Nifty, Bank Nifty, Sensex, and single-stock derivatives.</w:t>
      </w:r>
    </w:p>
    <w:p>
      <w:pPr>
        <w:spacing w:before="0" w:after="24" w:line="220" w:lineRule="exact"/>
        <w:ind w:left="180" w:hanging="180"/>
      </w:pPr>
      <w:r>
        <w:rPr>
          <w:b/>
          <w:color w:val="193B56"/>
          <w:sz w:val="17"/>
        </w:rPr>
        <w:t xml:space="preserve">• </w:t>
      </w:r>
      <w:r>
        <w:rPr>
          <w:sz w:val="17"/>
        </w:rPr>
        <w:t>Architect Bank Nifty basket statistical-arbitrage models using Johansen cointegration, dynamic beta hedging, spread Z-scores, and systematic theta capture across heavyweight constituent equities.</w:t>
      </w:r>
    </w:p>
    <w:p>
      <w:pPr>
        <w:spacing w:before="0" w:after="24" w:line="220" w:lineRule="exact"/>
        <w:ind w:left="180" w:hanging="180"/>
      </w:pPr>
      <w:r>
        <w:rPr>
          <w:b/>
          <w:color w:val="193B56"/>
          <w:sz w:val="17"/>
        </w:rPr>
        <w:t xml:space="preserve">• </w:t>
      </w:r>
      <w:r>
        <w:rPr>
          <w:sz w:val="17"/>
        </w:rPr>
        <w:t>Build and evaluate systematic models achieving 2.5+ out-of-sample Sharpe and 2.1+ Profit Factor in chronological backtest simulations incorporating explicit 0.50% turnover friction and realistic fill slippage.</w:t>
      </w:r>
    </w:p>
    <w:p>
      <w:pPr>
        <w:spacing w:before="0" w:after="24" w:line="220" w:lineRule="exact"/>
        <w:ind w:left="180" w:hanging="180"/>
      </w:pPr>
      <w:r>
        <w:rPr>
          <w:b/>
          <w:color w:val="193B56"/>
          <w:sz w:val="17"/>
        </w:rPr>
        <w:t xml:space="preserve">• </w:t>
      </w:r>
      <w:r>
        <w:rPr>
          <w:sz w:val="17"/>
        </w:rPr>
        <w:t>Engineer asynchronous telemetry and data caching using Python Asyncio, broker WebSockets, and memory-mapped (mmap) tick storage, reducing market crossing costs by 1.8 bps and eliminating API rate-limit bottlenecks.</w:t>
      </w:r>
    </w:p>
    <w:p>
      <w:pPr>
        <w:spacing w:before="0" w:after="24" w:line="220" w:lineRule="exact"/>
        <w:ind w:left="180" w:hanging="180"/>
      </w:pPr>
      <w:r>
        <w:rPr>
          <w:b/>
          <w:color w:val="193B56"/>
          <w:sz w:val="17"/>
        </w:rPr>
        <w:t xml:space="preserve">• </w:t>
      </w:r>
      <w:r>
        <w:rPr>
          <w:sz w:val="17"/>
        </w:rPr>
        <w:t>Structure real-time portfolio Greeks (Delta, Gamma, Vega, Theta), parametric and historical VaR, automated kill switches, and SPAN cross-margin risk models calibrated for institutional notional capacity.</w:t>
      </w:r>
    </w:p>
    <w:p>
      <w:pPr>
        <w:keepNext/>
        <w:tabs>
          <w:tab w:pos="10466" w:val="right"/>
        </w:tabs>
        <w:spacing w:before="50" w:after="10"/>
      </w:pPr>
      <w:r>
        <w:rPr>
          <w:b/>
          <w:sz w:val="18"/>
        </w:rPr>
        <w:t>Smart Bulls Capital</w:t>
      </w:r>
      <w:r>
        <w:rPr>
          <w:i/>
          <w:sz w:val="17"/>
        </w:rPr>
        <w:t xml:space="preserve"> — Research Analyst, Derivatives &amp; Quantitative Research</w:t>
      </w:r>
      <w:r>
        <w:rPr>
          <w:b/>
          <w:sz w:val="17"/>
        </w:rPr>
        <w:tab/>
        <w:t>Mar 2017 - Nov 2024</w:t>
      </w:r>
    </w:p>
    <w:p>
      <w:pPr>
        <w:spacing w:before="0" w:after="24" w:line="220" w:lineRule="exact"/>
        <w:ind w:left="180" w:hanging="180"/>
      </w:pPr>
      <w:r>
        <w:rPr>
          <w:b/>
          <w:color w:val="193B56"/>
          <w:sz w:val="17"/>
        </w:rPr>
        <w:t xml:space="preserve">• </w:t>
      </w:r>
      <w:r>
        <w:rPr>
          <w:sz w:val="17"/>
        </w:rPr>
        <w:t>Structured and evaluated systematic multi-leg options volatility strategies (calendar spreads, ratio butterflies, iron condors) with dynamic delta and vega rebalancing driven by real-time IV surface spline fitting.</w:t>
      </w:r>
    </w:p>
    <w:p>
      <w:pPr>
        <w:spacing w:before="0" w:after="24" w:line="220" w:lineRule="exact"/>
        <w:ind w:left="180" w:hanging="180"/>
      </w:pPr>
      <w:r>
        <w:rPr>
          <w:b/>
          <w:color w:val="193B56"/>
          <w:sz w:val="17"/>
        </w:rPr>
        <w:t xml:space="preserve">• </w:t>
      </w:r>
      <w:r>
        <w:rPr>
          <w:sz w:val="17"/>
        </w:rPr>
        <w:t>Formulated Black-Scholes pricing models, implied volatility surface spline fitters, and real-time dealer gamma exposure (GEX) dashboards to track institutional liquidity concentration.</w:t>
      </w:r>
    </w:p>
    <w:p>
      <w:pPr>
        <w:spacing w:before="0" w:after="24" w:line="220" w:lineRule="exact"/>
        <w:ind w:left="180" w:hanging="180"/>
      </w:pPr>
      <w:r>
        <w:rPr>
          <w:b/>
          <w:color w:val="193B56"/>
          <w:sz w:val="17"/>
        </w:rPr>
        <w:t xml:space="preserve">• </w:t>
      </w:r>
      <w:r>
        <w:rPr>
          <w:sz w:val="17"/>
        </w:rPr>
        <w:t>Conducted fundamental valuation, financial statement forensics, and DCF modeling across core financial and commercial sectors to support proprietary desk capital allocation.</w:t>
      </w:r>
    </w:p>
    <w:p>
      <w:pPr>
        <w:spacing w:before="0" w:after="24" w:line="220" w:lineRule="exact"/>
        <w:ind w:left="180" w:hanging="180"/>
      </w:pPr>
      <w:r>
        <w:rPr>
          <w:b/>
          <w:color w:val="193B56"/>
          <w:sz w:val="17"/>
        </w:rPr>
        <w:t xml:space="preserve">• </w:t>
      </w:r>
      <w:r>
        <w:rPr>
          <w:sz w:val="17"/>
        </w:rPr>
        <w:t>Managed desk risk parameters, daily P&amp;L attribution, margin monitoring, and execution tracking across multi-strike options books.</w:t>
      </w:r>
    </w:p>
    <w:p>
      <w:pPr>
        <w:keepNext/>
        <w:spacing w:before="100" w:after="40"/>
        <w:pBdr>
          <w:bottom w:val="single" w:sz="4" w:space="2" w:color="193B56"/>
        </w:pBdr>
      </w:pPr>
      <w:r>
        <w:rPr>
          <w:b/>
          <w:color w:val="193B56"/>
          <w:sz w:val="19"/>
        </w:rPr>
        <w:t>SELECTED QUANTITATIVE RESEARCH &amp; SYSTEMS</w:t>
      </w:r>
    </w:p>
    <w:p>
      <w:pPr>
        <w:spacing w:before="0" w:after="30" w:line="220" w:lineRule="exact"/>
        <w:ind w:left="180" w:hanging="180"/>
      </w:pPr>
      <w:r>
        <w:rPr>
          <w:b/>
          <w:color w:val="193B56"/>
          <w:sz w:val="17"/>
        </w:rPr>
        <w:t xml:space="preserve">• </w:t>
      </w:r>
      <w:r>
        <w:rPr>
          <w:b/>
          <w:sz w:val="17"/>
        </w:rPr>
        <w:t xml:space="preserve">Point-in-Time Institutional Backtesting Framework: </w:t>
      </w:r>
      <w:r>
        <w:rPr>
          <w:sz w:val="17"/>
        </w:rPr>
        <w:t>Built modular Python engine utilizing 7+ years of causal, point-in-time 1-minute historical data with zero lookahead bias, incorporating walk-forward optimization, parameter-stability plateaus, explicit 0.50% turnover friction, and 1,000-path Monte Carlo stress testing.</w:t>
      </w:r>
    </w:p>
    <w:p>
      <w:pPr>
        <w:spacing w:before="0" w:after="30" w:line="220" w:lineRule="exact"/>
        <w:ind w:left="180" w:hanging="180"/>
      </w:pPr>
      <w:r>
        <w:rPr>
          <w:b/>
          <w:color w:val="193B56"/>
          <w:sz w:val="17"/>
        </w:rPr>
        <w:t xml:space="preserve">• </w:t>
      </w:r>
      <w:r>
        <w:rPr>
          <w:b/>
          <w:sz w:val="17"/>
        </w:rPr>
        <w:t xml:space="preserve">Bank Nifty Basket Cointegration Model: </w:t>
      </w:r>
      <w:r>
        <w:rPr>
          <w:sz w:val="17"/>
        </w:rPr>
        <w:t>Developed statistical-arbitrage model applying Johansen tests, dynamic beta hedging, and rolling spread Z-scores to capture mean-reverting basis differentials and systematic theta across major banking constituents.</w:t>
      </w:r>
    </w:p>
    <w:p>
      <w:pPr>
        <w:spacing w:before="0" w:after="30" w:line="220" w:lineRule="exact"/>
        <w:ind w:left="180" w:hanging="180"/>
      </w:pPr>
      <w:r>
        <w:rPr>
          <w:b/>
          <w:color w:val="193B56"/>
          <w:sz w:val="17"/>
        </w:rPr>
        <w:t xml:space="preserve">• </w:t>
      </w:r>
      <w:r>
        <w:rPr>
          <w:b/>
          <w:sz w:val="17"/>
        </w:rPr>
        <w:t xml:space="preserve">Market Regime Allocation Model: </w:t>
      </w:r>
      <w:r>
        <w:rPr>
          <w:sz w:val="17"/>
        </w:rPr>
        <w:t>Designed unsupervised K-Means classifier utilizing rolling IV/RV ratios, price velocity, return skewness, and order-flow imbalance; dynamically scaled short-gamma exposure during volatility breakouts, reducing simulated maximum portfolio drawdown by 28%.</w:t>
      </w:r>
    </w:p>
    <w:p>
      <w:pPr>
        <w:keepNext/>
        <w:spacing w:before="100" w:after="40"/>
        <w:pBdr>
          <w:bottom w:val="single" w:sz="4" w:space="2" w:color="193B56"/>
        </w:pBdr>
      </w:pPr>
      <w:r>
        <w:rPr>
          <w:b/>
          <w:color w:val="193B56"/>
          <w:sz w:val="19"/>
        </w:rPr>
        <w:t>TECHNICAL &amp; QUANTITATIVE SKILLS</w:t>
      </w:r>
    </w:p>
    <w:p>
      <w:pPr>
        <w:spacing w:before="0" w:after="30" w:line="220" w:lineRule="exact"/>
        <w:ind w:left="180" w:hanging="180"/>
      </w:pPr>
      <w:r>
        <w:rPr>
          <w:b/>
          <w:color w:val="193B56"/>
          <w:sz w:val="17"/>
        </w:rPr>
        <w:t xml:space="preserve">• </w:t>
      </w:r>
      <w:r>
        <w:rPr>
          <w:b/>
          <w:sz w:val="17"/>
        </w:rPr>
        <w:t xml:space="preserve">Quantitative Research: </w:t>
      </w:r>
      <w:r>
        <w:rPr>
          <w:sz w:val="17"/>
        </w:rPr>
        <w:t>Statistical Arbitrage, Johansen Cointegration, Kalman Filtering, Dynamic Beta Hedging, Volatility Surface Modeling (SVI), Implied &amp; Realized Volatility (IV/RV), Market Regime Detection (K-Means), Walk-Forward Optimization, Monte Carlo Simulation.</w:t>
      </w:r>
    </w:p>
    <w:p>
      <w:pPr>
        <w:spacing w:before="0" w:after="30" w:line="220" w:lineRule="exact"/>
        <w:ind w:left="180" w:hanging="180"/>
      </w:pPr>
      <w:r>
        <w:rPr>
          <w:b/>
          <w:color w:val="193B56"/>
          <w:sz w:val="17"/>
        </w:rPr>
        <w:t xml:space="preserve">• </w:t>
      </w:r>
      <w:r>
        <w:rPr>
          <w:b/>
          <w:sz w:val="17"/>
        </w:rPr>
        <w:t xml:space="preserve">Options &amp; Risk: </w:t>
      </w:r>
      <w:r>
        <w:rPr>
          <w:sz w:val="17"/>
        </w:rPr>
        <w:t>Black-Scholes Pricing, Portfolio Greeks (Delta, Gamma, Vega, Theta), Delta/Vega Hedging, Gamma Risk Profiling, Volatility Dispersion, SPAN Cross-Margin Optimization, Historical &amp; Parametric VaR, Dealer Gamma Exposure (GEX).</w:t>
      </w:r>
    </w:p>
    <w:p>
      <w:pPr>
        <w:spacing w:before="0" w:after="30" w:line="220" w:lineRule="exact"/>
        <w:ind w:left="180" w:hanging="180"/>
      </w:pPr>
      <w:r>
        <w:rPr>
          <w:b/>
          <w:color w:val="193B56"/>
          <w:sz w:val="17"/>
        </w:rPr>
        <w:t xml:space="preserve">• </w:t>
      </w:r>
      <w:r>
        <w:rPr>
          <w:b/>
          <w:sz w:val="17"/>
        </w:rPr>
        <w:t xml:space="preserve">Programming &amp; Systems: </w:t>
      </w:r>
      <w:r>
        <w:rPr>
          <w:sz w:val="17"/>
        </w:rPr>
        <w:t>Python (Polars, DuckDB, NumPy, Pandas, SciPy, Statsmodels, scikit-learn, VectorBT), SQL, Apache Parquet, REST APIs, WebSockets, Asyncio, Memory-Mapped IPC (mmap), Git, Linux/Bash.</w:t>
      </w:r>
    </w:p>
    <w:p>
      <w:pPr>
        <w:spacing w:before="0" w:after="30" w:line="220" w:lineRule="exact"/>
        <w:ind w:left="180" w:hanging="180"/>
      </w:pPr>
      <w:r>
        <w:rPr>
          <w:b/>
          <w:color w:val="193B56"/>
          <w:sz w:val="17"/>
        </w:rPr>
        <w:t xml:space="preserve">• </w:t>
      </w:r>
      <w:r>
        <w:rPr>
          <w:b/>
          <w:sz w:val="17"/>
        </w:rPr>
        <w:t xml:space="preserve">Markets &amp; Microstructure: </w:t>
      </w:r>
      <w:r>
        <w:rPr>
          <w:sz w:val="17"/>
        </w:rPr>
        <w:t>NSE Equity Derivatives (Nifty, Bank Nifty, Sensex), Stock Options &amp; Futures, CBOE SPX/VIX Benchmarks, Market Microstructure, Smart Limit-Order Slicing, Fill Slippage Minimization.</w:t>
      </w:r>
    </w:p>
    <w:p>
      <w:pPr>
        <w:keepNext/>
        <w:spacing w:before="100" w:after="40"/>
        <w:pBdr>
          <w:bottom w:val="single" w:sz="4" w:space="2" w:color="193B56"/>
        </w:pBdr>
      </w:pPr>
      <w:r>
        <w:rPr>
          <w:b/>
          <w:color w:val="193B56"/>
          <w:sz w:val="19"/>
        </w:rPr>
        <w:t>EARLIER EXPERIENCE &amp; EDUCATION</w:t>
      </w:r>
    </w:p>
    <w:p>
      <w:pPr>
        <w:keepNext/>
        <w:tabs>
          <w:tab w:pos="10466" w:val="right"/>
        </w:tabs>
        <w:spacing w:before="50" w:after="10"/>
      </w:pPr>
      <w:r>
        <w:rPr>
          <w:b/>
          <w:sz w:val="18"/>
        </w:rPr>
        <w:t>Indian Oil Corporation Ltd. (IOCL)</w:t>
      </w:r>
      <w:r>
        <w:rPr>
          <w:i/>
          <w:sz w:val="17"/>
        </w:rPr>
        <w:t xml:space="preserve"> — Corporate Finance Executive</w:t>
      </w:r>
      <w:r>
        <w:rPr>
          <w:b/>
          <w:sz w:val="17"/>
        </w:rPr>
        <w:tab/>
        <w:t>Mar 2016 - Mar 2017</w:t>
      </w:r>
    </w:p>
    <w:p>
      <w:pPr>
        <w:spacing w:before="0" w:after="24" w:line="220" w:lineRule="exact"/>
        <w:ind w:left="180" w:hanging="180"/>
      </w:pPr>
      <w:r>
        <w:rPr>
          <w:b/>
          <w:color w:val="193B56"/>
          <w:sz w:val="17"/>
        </w:rPr>
        <w:t xml:space="preserve">• </w:t>
      </w:r>
      <w:r>
        <w:rPr>
          <w:sz w:val="17"/>
        </w:rPr>
        <w:t>Corporate treasury cash-flow risk modeling, multi-period corporate valuation, and debt-servicing sensitivity projections.</w:t>
      </w:r>
    </w:p>
    <w:p>
      <w:pPr>
        <w:keepNext/>
        <w:tabs>
          <w:tab w:pos="10466" w:val="right"/>
        </w:tabs>
        <w:spacing w:before="50" w:after="10"/>
      </w:pPr>
      <w:r>
        <w:rPr>
          <w:b/>
          <w:sz w:val="18"/>
        </w:rPr>
        <w:t>CA Matta &amp; Associates</w:t>
      </w:r>
      <w:r>
        <w:rPr>
          <w:i/>
          <w:sz w:val="17"/>
        </w:rPr>
        <w:t xml:space="preserve"> — Finance Executive</w:t>
      </w:r>
      <w:r>
        <w:rPr>
          <w:b/>
          <w:sz w:val="17"/>
        </w:rPr>
        <w:tab/>
        <w:t>Mar 2014 - Feb 2016</w:t>
      </w:r>
    </w:p>
    <w:p>
      <w:pPr>
        <w:spacing w:before="0" w:after="24" w:line="220" w:lineRule="exact"/>
        <w:ind w:left="180" w:hanging="180"/>
      </w:pPr>
      <w:r>
        <w:rPr>
          <w:b/>
          <w:color w:val="193B56"/>
          <w:sz w:val="17"/>
        </w:rPr>
        <w:t xml:space="preserve">• </w:t>
      </w:r>
      <w:r>
        <w:rPr>
          <w:sz w:val="17"/>
        </w:rPr>
        <w:t>Financial statement forensics, capital structure valuation modeling, and solvency analysis for institutional clients.</w:t>
      </w:r>
    </w:p>
    <w:p>
      <w:pPr>
        <w:spacing w:before="0" w:after="30" w:line="220" w:lineRule="exact"/>
        <w:ind w:left="180" w:hanging="180"/>
      </w:pPr>
      <w:r>
        <w:rPr>
          <w:b/>
          <w:color w:val="193B56"/>
          <w:sz w:val="17"/>
        </w:rPr>
        <w:t xml:space="preserve">• </w:t>
      </w:r>
      <w:r>
        <w:rPr>
          <w:b/>
          <w:sz w:val="17"/>
        </w:rPr>
        <w:t xml:space="preserve">Bachelor of Commerce (Honours): </w:t>
      </w:r>
      <w:r>
        <w:rPr>
          <w:sz w:val="17"/>
        </w:rPr>
        <w:t>Kirori Mal College, University of Delhi (2011 - 2014) | 71% Marks (First Division)</w:t>
      </w:r>
    </w:p>
    <w:p>
      <w:pPr>
        <w:spacing w:before="0" w:after="30" w:line="220" w:lineRule="exact"/>
        <w:ind w:left="180" w:hanging="180"/>
      </w:pPr>
      <w:r>
        <w:rPr>
          <w:b/>
          <w:color w:val="193B56"/>
          <w:sz w:val="17"/>
        </w:rPr>
        <w:t xml:space="preserve">• </w:t>
      </w:r>
      <w:r>
        <w:rPr>
          <w:b/>
          <w:sz w:val="17"/>
        </w:rPr>
        <w:t xml:space="preserve">Chartered Accountancy (CA Final): </w:t>
      </w:r>
      <w:r>
        <w:rPr>
          <w:sz w:val="17"/>
        </w:rPr>
        <w:t>Institute of Chartered Accountants of India (ICAI, 2018) | 78% Marks (Cleared Group 1)</w:t>
      </w:r>
    </w:p>
    <w:p>
      <w:pPr>
        <w:spacing w:before="0" w:after="30" w:line="220" w:lineRule="exact"/>
        <w:ind w:left="180" w:hanging="180"/>
      </w:pPr>
      <w:r>
        <w:rPr>
          <w:b/>
          <w:color w:val="193B56"/>
          <w:sz w:val="17"/>
        </w:rPr>
        <w:t xml:space="preserve">• </w:t>
      </w:r>
      <w:r>
        <w:rPr>
          <w:b/>
          <w:sz w:val="17"/>
        </w:rPr>
        <w:t xml:space="preserve">Regulatory Licenses: </w:t>
      </w:r>
      <w:r>
        <w:rPr>
          <w:sz w:val="17"/>
        </w:rPr>
        <w:t>SEBI Registered Research Analyst | NISM Series-XV: Research Analyst Certified</w:t>
      </w:r>
    </w:p>
    <w:sectPr w:rsidR="00FC693F" w:rsidRPr="0006063C" w:rsidSect="00034616">
      <w:pgSz w:w="11906" w:h="16838"/>
      <w:pgMar w:top="560" w:right="720" w:bottom="5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24" w:lineRule="exact" w:after="30"/>
    </w:pPr>
    <w:rPr>
      <w:rFonts w:ascii="Arial" w:hAnsi="Arial"/>
      <w:color w:val="1A232E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Prince Chauhan - Institutional Quantitative Researcher CV</dc:title>
  <dc:subject/>
  <dc:creator>Prince Chauhan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