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rFonts w:ascii="Arial" w:hAnsi="Arial"/>
          <w:b/>
          <w:color w:val="0F2942"/>
          <w:sz w:val="33"/>
        </w:rPr>
        <w:t>PRINCE CHAUHAN</w:t>
      </w:r>
    </w:p>
    <w:p>
      <w:pPr>
        <w:spacing w:before="0" w:after="30"/>
      </w:pPr>
      <w:r>
        <w:rPr>
          <w:rFonts w:ascii="Arial" w:hAnsi="Arial"/>
          <w:b/>
          <w:color w:val="1E3A5F"/>
          <w:sz w:val="17"/>
        </w:rPr>
        <w:t>SENIOR QUANTITATIVE ANALYST | SYSTEMATIC DERIVATIVES &amp; STATISTICAL ARBITRAGE</w:t>
      </w:r>
    </w:p>
    <w:p>
      <w:pPr>
        <w:spacing w:before="0" w:after="20"/>
      </w:pPr>
      <w:r>
        <w:rPr>
          <w:rFonts w:ascii="Arial" w:hAnsi="Arial"/>
          <w:color w:val="333333"/>
          <w:sz w:val="16"/>
        </w:rPr>
        <w:t>New Delhi, India  |  +91-9650765343  |  pchauhanrajput.pc@gmail.com  |  github.com/pchauhanrajputpc-sketch/quant-research-portfolio</w:t>
      </w:r>
    </w:p>
    <w:p>
      <w:pPr>
        <w:spacing w:before="0" w:after="40"/>
      </w:pPr>
      <w:r>
        <w:rPr>
          <w:rFonts w:ascii="Arial" w:hAnsi="Arial"/>
          <w:b/>
          <w:color w:val="0284C7"/>
          <w:sz w:val="16"/>
        </w:rPr>
        <w:t>SEBI Registered Research Analyst</w:t>
      </w:r>
    </w:p>
    <w:p>
      <w:pPr>
        <w:keepNext/>
        <w:spacing w:before="70" w:after="30"/>
        <w:pBdr>
          <w:bottom w:val="single" w:sz="6" w:space="1" w:color="0F2942"/>
        </w:pBdr>
      </w:pPr>
      <w:r>
        <w:rPr>
          <w:rFonts w:ascii="Arial" w:hAnsi="Arial"/>
          <w:b/>
          <w:color w:val="0F2942"/>
          <w:sz w:val="17"/>
        </w:rPr>
        <w:t>PROFESSIONAL SUMMARY</w:t>
      </w:r>
    </w:p>
    <w:p>
      <w:pPr>
        <w:spacing w:before="10" w:after="40"/>
      </w:pPr>
      <w:r>
        <w:rPr>
          <w:rFonts w:ascii="Arial" w:hAnsi="Arial"/>
          <w:color w:val="1A202C"/>
          <w:sz w:val="15"/>
        </w:rPr>
        <w:t>Senior Quantitative Analyst and Systematic Derivatives Strategist with 9+ years of experience designing, validating, and trading systematic options volatility and statistical arbitrage strategies across US (SPX/SPXW, CBOE VIX) and Indian (NSE/BSE) equity index derivatives via Interactive Brokers (IBKR) and domestic broker gateways. Specialized in implied volatility surface modeling (SVI, cubic splines), cointegration, unsupervised market regime detection, and microstructure-aware execution engines with strict risk and capital constraints. Combines production-grade Python research pipelines (Polars, NumPy, SciPy, Asyncio) with advanced financial accounting forensics and regulatory qualifications (CA Final Group 1, B.Com Hons 1st Div, SEBI Registered Research Analyst).</w:t>
      </w:r>
    </w:p>
    <w:p>
      <w:pPr>
        <w:keepNext/>
        <w:spacing w:before="70" w:after="30"/>
        <w:pBdr>
          <w:bottom w:val="single" w:sz="6" w:space="1" w:color="0F2942"/>
        </w:pBdr>
      </w:pPr>
      <w:r>
        <w:rPr>
          <w:rFonts w:ascii="Arial" w:hAnsi="Arial"/>
          <w:b/>
          <w:color w:val="0F2942"/>
          <w:sz w:val="17"/>
        </w:rPr>
        <w:t>PROFESSIONAL EXPERIENCE</w:t>
      </w:r>
    </w:p>
    <w:p>
      <w:pPr>
        <w:keepNext/>
        <w:spacing w:before="40" w:after="10"/>
      </w:pPr>
      <w:r>
        <w:rPr>
          <w:rFonts w:ascii="Arial" w:hAnsi="Arial"/>
          <w:b/>
          <w:sz w:val="16"/>
        </w:rPr>
        <w:t xml:space="preserve">SMC Global Securities Ltd. - </w:t>
      </w:r>
      <w:r>
        <w:rPr>
          <w:rFonts w:ascii="Arial" w:hAnsi="Arial"/>
          <w:i/>
          <w:sz w:val="16"/>
        </w:rPr>
        <w:t>Senior Quantitative Analyst, Systematic Strategies &amp; Quant Desk</w:t>
      </w:r>
      <w:r>
        <w:rPr>
          <w:rFonts w:ascii="Arial" w:hAnsi="Arial"/>
          <w:b/>
          <w:color w:val="0F2942"/>
          <w:sz w:val="16"/>
        </w:rPr>
        <w:t xml:space="preserve">  |  Dec 2024 - Present</w:t>
      </w:r>
    </w:p>
    <w:p>
      <w:pPr>
        <w:spacing w:before="0" w:after="16"/>
        <w:ind w:left="180" w:hanging="180"/>
      </w:pPr>
      <w:r>
        <w:rPr>
          <w:rFonts w:ascii="Arial" w:hAnsi="Arial"/>
          <w:b/>
          <w:color w:val="0F2942"/>
          <w:sz w:val="15"/>
        </w:rPr>
        <w:t xml:space="preserve">•  </w:t>
      </w:r>
      <w:r>
        <w:rPr>
          <w:rFonts w:ascii="Arial" w:hAnsi="Arial"/>
          <w:color w:val="1A202C"/>
          <w:sz w:val="15"/>
        </w:rPr>
        <w:t>Architected causal, event-driven simulation pipelines and point-in-time alpha research infrastructure on tick-level and 1-minute intraday bar feeds for US and Indian index derivatives (SPX, CBOE VIX, Nifty, Bank Nifty), eliminating lookahead bias in intraday studies.</w:t>
      </w:r>
    </w:p>
    <w:p>
      <w:pPr>
        <w:spacing w:before="0" w:after="16"/>
        <w:ind w:left="180" w:hanging="180"/>
      </w:pPr>
      <w:r>
        <w:rPr>
          <w:rFonts w:ascii="Arial" w:hAnsi="Arial"/>
          <w:b/>
          <w:color w:val="0F2942"/>
          <w:sz w:val="15"/>
        </w:rPr>
        <w:t xml:space="preserve">•  </w:t>
      </w:r>
      <w:r>
        <w:rPr>
          <w:rFonts w:ascii="Arial" w:hAnsi="Arial"/>
          <w:color w:val="1A202C"/>
          <w:sz w:val="15"/>
        </w:rPr>
        <w:t>Engineered automated execution pipelines and volatility surface modeling for US equity index options (SPX/SPXW 0DTE) via Interactive Brokers (IBKR API), systematically capturing short-horizon IV skew mispricings while managing dynamic intraday delta rebalancing.</w:t>
      </w:r>
    </w:p>
    <w:p>
      <w:pPr>
        <w:spacing w:before="0" w:after="16"/>
        <w:ind w:left="180" w:hanging="180"/>
      </w:pPr>
      <w:r>
        <w:rPr>
          <w:rFonts w:ascii="Arial" w:hAnsi="Arial"/>
          <w:b/>
          <w:color w:val="0F2942"/>
          <w:sz w:val="15"/>
        </w:rPr>
        <w:t xml:space="preserve">•  </w:t>
      </w:r>
      <w:r>
        <w:rPr>
          <w:rFonts w:ascii="Arial" w:hAnsi="Arial"/>
          <w:color w:val="1A202C"/>
          <w:sz w:val="15"/>
        </w:rPr>
        <w:t>Developed Bank Nifty basket statistical arbitrage models applying Johansen cointegration rank tests, dynamic rolling beta hedging, and Ornstein-Uhlenbeck spread half-life modeling across heavyweight banking equities to capture mean-reversion opportunities.</w:t>
      </w:r>
    </w:p>
    <w:p>
      <w:pPr>
        <w:spacing w:before="0" w:after="16"/>
        <w:ind w:left="180" w:hanging="180"/>
      </w:pPr>
      <w:r>
        <w:rPr>
          <w:rFonts w:ascii="Arial" w:hAnsi="Arial"/>
          <w:b/>
          <w:color w:val="0F2942"/>
          <w:sz w:val="15"/>
        </w:rPr>
        <w:t xml:space="preserve">•  </w:t>
      </w:r>
      <w:r>
        <w:rPr>
          <w:rFonts w:ascii="Arial" w:hAnsi="Arial"/>
          <w:color w:val="1A202C"/>
          <w:sz w:val="15"/>
        </w:rPr>
        <w:t>Calibrated systematic options strategies delivering 2.5+ Out-of-Sample Sharpe and 2.1+ Profit Factor in strictly chronological simulations after pre-deducting conservative 0.50% round-trip execution friction (bid-ask spread crossing, market impact, statutory costs).</w:t>
      </w:r>
    </w:p>
    <w:p>
      <w:pPr>
        <w:spacing w:before="0" w:after="16"/>
        <w:ind w:left="180" w:hanging="180"/>
      </w:pPr>
      <w:r>
        <w:rPr>
          <w:rFonts w:ascii="Arial" w:hAnsi="Arial"/>
          <w:b/>
          <w:color w:val="0F2942"/>
          <w:sz w:val="15"/>
        </w:rPr>
        <w:t xml:space="preserve">•  </w:t>
      </w:r>
      <w:r>
        <w:rPr>
          <w:rFonts w:ascii="Arial" w:hAnsi="Arial"/>
          <w:color w:val="1A202C"/>
          <w:sz w:val="15"/>
        </w:rPr>
        <w:t>Transitioned legacy rules-based execution to an asynchronous event-driven tick pipeline (Python Asyncio, broker WebSockets, memory-mapped IPC), improving fill efficiency by 24% and minimizing bid-ask crossing drag and execution slippage across multi-leg orders.</w:t>
      </w:r>
    </w:p>
    <w:p>
      <w:pPr>
        <w:spacing w:before="0" w:after="16"/>
        <w:ind w:left="180" w:hanging="180"/>
      </w:pPr>
      <w:r>
        <w:rPr>
          <w:rFonts w:ascii="Arial" w:hAnsi="Arial"/>
          <w:b/>
          <w:color w:val="0F2942"/>
          <w:sz w:val="15"/>
        </w:rPr>
        <w:t xml:space="preserve">•  </w:t>
      </w:r>
      <w:r>
        <w:rPr>
          <w:rFonts w:ascii="Arial" w:hAnsi="Arial"/>
          <w:color w:val="1A202C"/>
          <w:sz w:val="15"/>
        </w:rPr>
        <w:t>Partnered with proprietary risk desks to implement real-time portfolio Greeks monitoring (Delta, Gamma, Vega, Theta), dealer Gamma Exposure (GEX) mapping, parametric/historical VaR, automated volatility kill switches, and SPAN cross-margin capital limits.</w:t>
      </w:r>
    </w:p>
    <w:p>
      <w:pPr>
        <w:keepNext/>
        <w:spacing w:before="40" w:after="10"/>
      </w:pPr>
      <w:r>
        <w:rPr>
          <w:rFonts w:ascii="Arial" w:hAnsi="Arial"/>
          <w:b/>
          <w:sz w:val="16"/>
        </w:rPr>
        <w:t xml:space="preserve">Smart Bulls Capital - </w:t>
      </w:r>
      <w:r>
        <w:rPr>
          <w:rFonts w:ascii="Arial" w:hAnsi="Arial"/>
          <w:i/>
          <w:sz w:val="16"/>
        </w:rPr>
        <w:t>Research Analyst, Derivatives &amp; Quantitative Research</w:t>
      </w:r>
      <w:r>
        <w:rPr>
          <w:rFonts w:ascii="Arial" w:hAnsi="Arial"/>
          <w:b/>
          <w:color w:val="0F2942"/>
          <w:sz w:val="16"/>
        </w:rPr>
        <w:t xml:space="preserve">  |  Mar 2017 - Nov 2024</w:t>
      </w:r>
    </w:p>
    <w:p>
      <w:pPr>
        <w:spacing w:before="0" w:after="16"/>
        <w:ind w:left="180" w:hanging="180"/>
      </w:pPr>
      <w:r>
        <w:rPr>
          <w:rFonts w:ascii="Arial" w:hAnsi="Arial"/>
          <w:b/>
          <w:color w:val="0F2942"/>
          <w:sz w:val="15"/>
        </w:rPr>
        <w:t xml:space="preserve">•  </w:t>
      </w:r>
      <w:r>
        <w:rPr>
          <w:rFonts w:ascii="Arial" w:hAnsi="Arial"/>
          <w:color w:val="1A202C"/>
          <w:sz w:val="15"/>
        </w:rPr>
        <w:t>Researched, structured, and traded systematic multi-leg options volatility strategies (calendar spreads, ratio butterflies, iron condors) with dynamic delta and vega rebalancing using real-time IV surface spline smoothing.</w:t>
      </w:r>
    </w:p>
    <w:p>
      <w:pPr>
        <w:spacing w:before="0" w:after="16"/>
        <w:ind w:left="180" w:hanging="180"/>
      </w:pPr>
      <w:r>
        <w:rPr>
          <w:rFonts w:ascii="Arial" w:hAnsi="Arial"/>
          <w:b/>
          <w:color w:val="0F2942"/>
          <w:sz w:val="15"/>
        </w:rPr>
        <w:t xml:space="preserve">•  </w:t>
      </w:r>
      <w:r>
        <w:rPr>
          <w:rFonts w:ascii="Arial" w:hAnsi="Arial"/>
          <w:color w:val="1A202C"/>
          <w:sz w:val="15"/>
        </w:rPr>
        <w:t>Built Black-Scholes-Merton PDE inversion models (Newton-Raphson, Brent solvers), cubic spline &amp; SVI strike smoothing, and real-time dealer Gamma Exposure (GEX) profiles to map institutional pin risk.</w:t>
      </w:r>
    </w:p>
    <w:p>
      <w:pPr>
        <w:spacing w:before="0" w:after="16"/>
        <w:ind w:left="180" w:hanging="180"/>
      </w:pPr>
      <w:r>
        <w:rPr>
          <w:rFonts w:ascii="Arial" w:hAnsi="Arial"/>
          <w:b/>
          <w:color w:val="0F2942"/>
          <w:sz w:val="15"/>
        </w:rPr>
        <w:t xml:space="preserve">•  </w:t>
      </w:r>
      <w:r>
        <w:rPr>
          <w:rFonts w:ascii="Arial" w:hAnsi="Arial"/>
          <w:color w:val="1A202C"/>
          <w:sz w:val="15"/>
        </w:rPr>
        <w:t>Conducted fundamental equity research including financial statement forensics, discounted cash flow (DCF) modeling, and valuation across banking, energy, and industrial sectors to inform desk capital deployment to quant strategies.</w:t>
      </w:r>
    </w:p>
    <w:p>
      <w:pPr>
        <w:spacing w:before="0" w:after="16"/>
        <w:ind w:left="180" w:hanging="180"/>
      </w:pPr>
      <w:r>
        <w:rPr>
          <w:rFonts w:ascii="Arial" w:hAnsi="Arial"/>
          <w:b/>
          <w:color w:val="0F2942"/>
          <w:sz w:val="15"/>
        </w:rPr>
        <w:t xml:space="preserve">•  </w:t>
      </w:r>
      <w:r>
        <w:rPr>
          <w:rFonts w:ascii="Arial" w:hAnsi="Arial"/>
          <w:color w:val="1A202C"/>
          <w:sz w:val="15"/>
        </w:rPr>
        <w:t>Managed daily P&amp;L attribution, margin utilization, order slice execution, and drawdown limits across multi-strike options books, ensuring strict adherence to risk budgets and desk constraints.</w:t>
      </w:r>
    </w:p>
    <w:p>
      <w:pPr>
        <w:keepNext/>
        <w:spacing w:before="40" w:after="10"/>
      </w:pPr>
      <w:r>
        <w:rPr>
          <w:rFonts w:ascii="Arial" w:hAnsi="Arial"/>
          <w:b/>
          <w:sz w:val="16"/>
        </w:rPr>
        <w:t xml:space="preserve">Earlier Corporate Experience - </w:t>
      </w:r>
      <w:r>
        <w:rPr>
          <w:rFonts w:ascii="Arial" w:hAnsi="Arial"/>
          <w:i/>
          <w:sz w:val="16"/>
        </w:rPr>
        <w:t>Corporate Finance &amp; Audit Roles</w:t>
      </w:r>
      <w:r>
        <w:rPr>
          <w:rFonts w:ascii="Arial" w:hAnsi="Arial"/>
          <w:b/>
          <w:color w:val="0F2942"/>
          <w:sz w:val="16"/>
        </w:rPr>
        <w:t xml:space="preserve">  |  2014 - 2017</w:t>
      </w:r>
    </w:p>
    <w:p>
      <w:pPr>
        <w:spacing w:before="0" w:after="16"/>
        <w:ind w:left="180" w:hanging="180"/>
      </w:pPr>
      <w:r>
        <w:rPr>
          <w:rFonts w:ascii="Arial" w:hAnsi="Arial"/>
          <w:b/>
          <w:color w:val="0F2942"/>
          <w:sz w:val="15"/>
        </w:rPr>
        <w:t xml:space="preserve">•  </w:t>
      </w:r>
      <w:r>
        <w:rPr>
          <w:rFonts w:ascii="Arial" w:hAnsi="Arial"/>
          <w:color w:val="1A202C"/>
          <w:sz w:val="15"/>
        </w:rPr>
        <w:t>Managed treasury operations, working capital forecasting, and forensic variance audits at Indian Oil Corporation Ltd. (IOCL, 2016 - 2017); performed statutory audits and corporate tax structuring at CA Matta &amp; Associates (2014 - 2016).</w:t>
      </w:r>
    </w:p>
    <w:p>
      <w:pPr>
        <w:keepNext/>
        <w:spacing w:before="70" w:after="30"/>
        <w:pBdr>
          <w:bottom w:val="single" w:sz="6" w:space="1" w:color="0F2942"/>
        </w:pBdr>
      </w:pPr>
      <w:r>
        <w:rPr>
          <w:rFonts w:ascii="Arial" w:hAnsi="Arial"/>
          <w:b/>
          <w:color w:val="0F2942"/>
          <w:sz w:val="17"/>
        </w:rPr>
        <w:t>QUANTITATIVE RESEARCH &amp; ARCHITECTURE</w:t>
      </w:r>
    </w:p>
    <w:p>
      <w:pPr>
        <w:spacing w:before="0" w:after="18"/>
        <w:ind w:left="180" w:hanging="180"/>
      </w:pPr>
      <w:r>
        <w:rPr>
          <w:rFonts w:ascii="Arial" w:hAnsi="Arial"/>
          <w:b/>
          <w:color w:val="0F2942"/>
          <w:sz w:val="15"/>
        </w:rPr>
        <w:t xml:space="preserve">•  </w:t>
      </w:r>
      <w:r>
        <w:rPr>
          <w:rFonts w:ascii="Arial" w:hAnsi="Arial"/>
          <w:b/>
          <w:color w:val="0F2942"/>
          <w:sz w:val="15"/>
        </w:rPr>
        <w:t xml:space="preserve">Point-in-Time Alpha Simulation Framework &amp; Audit Gate: </w:t>
      </w:r>
      <w:r>
        <w:rPr>
          <w:rFonts w:ascii="Arial" w:hAnsi="Arial"/>
          <w:color w:val="1A202C"/>
          <w:sz w:val="15"/>
        </w:rPr>
        <w:t>Designed modular Python framework utilizing 7+ years of causal 1-minute historical data with zero lookahead bias; pre-deducts 0.50% turnover friction, enforces clearing-house SPAN margin models, portfolio leverage caps, point-in-time invariant audit framework, 70/20/10 Walk-Forward Optimization, and 1,000-path Monte Carlo drawdown cones.</w:t>
      </w:r>
    </w:p>
    <w:p>
      <w:pPr>
        <w:spacing w:before="0" w:after="18"/>
        <w:ind w:left="180" w:hanging="180"/>
      </w:pPr>
      <w:r>
        <w:rPr>
          <w:rFonts w:ascii="Arial" w:hAnsi="Arial"/>
          <w:b/>
          <w:color w:val="0F2942"/>
          <w:sz w:val="15"/>
        </w:rPr>
        <w:t xml:space="preserve">•  </w:t>
      </w:r>
      <w:r>
        <w:rPr>
          <w:rFonts w:ascii="Arial" w:hAnsi="Arial"/>
          <w:b/>
          <w:color w:val="0F2942"/>
          <w:sz w:val="15"/>
        </w:rPr>
        <w:t xml:space="preserve">Arbitrage-Free Options Volatility Surface &amp; GEX Profiling: </w:t>
      </w:r>
      <w:r>
        <w:rPr>
          <w:rFonts w:ascii="Arial" w:hAnsi="Arial"/>
          <w:color w:val="1A202C"/>
          <w:sz w:val="15"/>
        </w:rPr>
        <w:t>Formulated Black-Scholes inversion using Newton-Raphson/Brent solvers, cubic spline &amp; SVI surface fitting, arbitrage-free total variance constraints, and dealer Gamma Exposure (GEX) sensitivity profiling to stabilize IV surfaces and GEX maps across strikes and tenors.</w:t>
      </w:r>
    </w:p>
    <w:p>
      <w:pPr>
        <w:spacing w:before="0" w:after="18"/>
        <w:ind w:left="180" w:hanging="180"/>
      </w:pPr>
      <w:r>
        <w:rPr>
          <w:rFonts w:ascii="Arial" w:hAnsi="Arial"/>
          <w:b/>
          <w:color w:val="0F2942"/>
          <w:sz w:val="15"/>
        </w:rPr>
        <w:t xml:space="preserve">•  </w:t>
      </w:r>
      <w:r>
        <w:rPr>
          <w:rFonts w:ascii="Arial" w:hAnsi="Arial"/>
          <w:b/>
          <w:color w:val="0F2942"/>
          <w:sz w:val="15"/>
        </w:rPr>
        <w:t xml:space="preserve">Bank Nifty Basket Cointegration &amp; Statistical Arbitrage: </w:t>
      </w:r>
      <w:r>
        <w:rPr>
          <w:rFonts w:ascii="Arial" w:hAnsi="Arial"/>
          <w:color w:val="1A202C"/>
          <w:sz w:val="15"/>
        </w:rPr>
        <w:t>Developed Johansen multivariate cointegration rank tests, dynamic rolling beta weighting, Ornstein-Uhlenbeck spread half-life estimation, automated strike re-centering thresholds, and contract-rollover rules while maintaining strict delta neutrality.</w:t>
      </w:r>
    </w:p>
    <w:p>
      <w:pPr>
        <w:spacing w:before="0" w:after="18"/>
        <w:ind w:left="180" w:hanging="180"/>
      </w:pPr>
      <w:r>
        <w:rPr>
          <w:rFonts w:ascii="Arial" w:hAnsi="Arial"/>
          <w:b/>
          <w:color w:val="0F2942"/>
          <w:sz w:val="15"/>
        </w:rPr>
        <w:t xml:space="preserve">•  </w:t>
      </w:r>
      <w:r>
        <w:rPr>
          <w:rFonts w:ascii="Arial" w:hAnsi="Arial"/>
          <w:b/>
          <w:color w:val="0F2942"/>
          <w:sz w:val="15"/>
        </w:rPr>
        <w:t xml:space="preserve">Market Regime Volatility Gating &amp; Microstructure Simulator: </w:t>
      </w:r>
      <w:r>
        <w:rPr>
          <w:rFonts w:ascii="Arial" w:hAnsi="Arial"/>
          <w:color w:val="1A202C"/>
          <w:sz w:val="15"/>
        </w:rPr>
        <w:t>Engineered unsupervised K-Means clustering on Parkinson realized volatility, IV/RV ratios, and return skewness, reducing simulated maximum drawdown by 28%; paired with an execution simulator modeling order book queue priority, non-linear market impact, and fill slippage.</w:t>
      </w:r>
    </w:p>
    <w:p>
      <w:pPr>
        <w:keepNext/>
        <w:spacing w:before="70" w:after="30"/>
        <w:pBdr>
          <w:bottom w:val="single" w:sz="6" w:space="1" w:color="0F2942"/>
        </w:pBdr>
      </w:pPr>
      <w:r>
        <w:rPr>
          <w:rFonts w:ascii="Arial" w:hAnsi="Arial"/>
          <w:b/>
          <w:color w:val="0F2942"/>
          <w:sz w:val="17"/>
        </w:rPr>
        <w:t>TECHNICAL &amp; QUANTITATIVE COMPETENCIES</w:t>
      </w:r>
    </w:p>
    <w:p>
      <w:pPr>
        <w:spacing w:before="0" w:after="18"/>
        <w:ind w:left="180" w:hanging="180"/>
      </w:pPr>
      <w:r>
        <w:rPr>
          <w:rFonts w:ascii="Arial" w:hAnsi="Arial"/>
          <w:b/>
          <w:color w:val="0F2942"/>
          <w:sz w:val="15"/>
        </w:rPr>
        <w:t xml:space="preserve">•  </w:t>
      </w:r>
      <w:r>
        <w:rPr>
          <w:rFonts w:ascii="Arial" w:hAnsi="Arial"/>
          <w:b/>
          <w:color w:val="0F2942"/>
          <w:sz w:val="15"/>
        </w:rPr>
        <w:t xml:space="preserve">Quantitative Research: </w:t>
      </w:r>
      <w:r>
        <w:rPr>
          <w:rFonts w:ascii="Arial" w:hAnsi="Arial"/>
          <w:color w:val="1A202C"/>
          <w:sz w:val="15"/>
        </w:rPr>
        <w:t>Statistical Arbitrage, Johansen Cointegration, Dynamic Beta Hedging, SVI Volatility Surface Fitting, Implied vs Realized Volatility (IV/RV, Parkinson), Market Regime Detection (K-Means), Walk-Forward Optimization (WFO), Monte Carlo Simulation.</w:t>
      </w:r>
    </w:p>
    <w:p>
      <w:pPr>
        <w:spacing w:before="0" w:after="18"/>
        <w:ind w:left="180" w:hanging="180"/>
      </w:pPr>
      <w:r>
        <w:rPr>
          <w:rFonts w:ascii="Arial" w:hAnsi="Arial"/>
          <w:b/>
          <w:color w:val="0F2942"/>
          <w:sz w:val="15"/>
        </w:rPr>
        <w:t xml:space="preserve">•  </w:t>
      </w:r>
      <w:r>
        <w:rPr>
          <w:rFonts w:ascii="Arial" w:hAnsi="Arial"/>
          <w:b/>
          <w:color w:val="0F2942"/>
          <w:sz w:val="15"/>
        </w:rPr>
        <w:t xml:space="preserve">Derivatives &amp; Risk Governance: </w:t>
      </w:r>
      <w:r>
        <w:rPr>
          <w:rFonts w:ascii="Arial" w:hAnsi="Arial"/>
          <w:color w:val="1A202C"/>
          <w:sz w:val="15"/>
        </w:rPr>
        <w:t>Options Pricing (Black-Scholes), Portfolio Greeks (Delta, Gamma, Vega, Theta), Delta/Vega Neutrality, Dealer Gamma Exposure (GEX), Parametric &amp; Historical VaR, SPAN Cross-Margin Optimization, Portfolio Leverage Constraints.</w:t>
      </w:r>
    </w:p>
    <w:p>
      <w:pPr>
        <w:spacing w:before="0" w:after="18"/>
        <w:ind w:left="180" w:hanging="180"/>
      </w:pPr>
      <w:r>
        <w:rPr>
          <w:rFonts w:ascii="Arial" w:hAnsi="Arial"/>
          <w:b/>
          <w:color w:val="0F2942"/>
          <w:sz w:val="15"/>
        </w:rPr>
        <w:t xml:space="preserve">•  </w:t>
      </w:r>
      <w:r>
        <w:rPr>
          <w:rFonts w:ascii="Arial" w:hAnsi="Arial"/>
          <w:b/>
          <w:color w:val="0F2942"/>
          <w:sz w:val="15"/>
        </w:rPr>
        <w:t xml:space="preserve">Programming &amp; Infrastructure: </w:t>
      </w:r>
      <w:r>
        <w:rPr>
          <w:rFonts w:ascii="Arial" w:hAnsi="Arial"/>
          <w:color w:val="1A202C"/>
          <w:sz w:val="15"/>
        </w:rPr>
        <w:t>Python 3.11+, Polars, DuckDB, NumPy, SciPy, Statsmodels, Scikit-Learn, VectorBT, SQL, Apache Parquet, Asyncio, WebSockets, Memory-Mapped IPC (mmap), Interactive Brokers API (IBKR / ib_insync), ReportLab PDF Engine, Git, Linux/Bash.</w:t>
      </w:r>
    </w:p>
    <w:p>
      <w:pPr>
        <w:spacing w:before="0" w:after="18"/>
        <w:ind w:left="180" w:hanging="180"/>
      </w:pPr>
      <w:r>
        <w:rPr>
          <w:rFonts w:ascii="Arial" w:hAnsi="Arial"/>
          <w:b/>
          <w:color w:val="0F2942"/>
          <w:sz w:val="15"/>
        </w:rPr>
        <w:t xml:space="preserve">•  </w:t>
      </w:r>
      <w:r>
        <w:rPr>
          <w:rFonts w:ascii="Arial" w:hAnsi="Arial"/>
          <w:b/>
          <w:color w:val="0F2942"/>
          <w:sz w:val="15"/>
        </w:rPr>
        <w:t xml:space="preserve">Markets &amp; Microstructure: </w:t>
      </w:r>
      <w:r>
        <w:rPr>
          <w:rFonts w:ascii="Arial" w:hAnsi="Arial"/>
          <w:color w:val="1A202C"/>
          <w:sz w:val="15"/>
        </w:rPr>
        <w:t>US &amp; Indian Equity Derivatives (SPX/SPXW 0DTE, CBOE VIX, Nifty, Bank Nifty, Sensex), Single-Stock Futures &amp; Options, Limit Order Book Dynamics, Smart Limit Slicing, Fill Slippage Minimization.</w:t>
      </w:r>
    </w:p>
    <w:p>
      <w:pPr>
        <w:keepNext/>
        <w:spacing w:before="70" w:after="30"/>
        <w:pBdr>
          <w:bottom w:val="single" w:sz="6" w:space="1" w:color="0F2942"/>
        </w:pBdr>
      </w:pPr>
      <w:r>
        <w:rPr>
          <w:rFonts w:ascii="Arial" w:hAnsi="Arial"/>
          <w:b/>
          <w:color w:val="0F2942"/>
          <w:sz w:val="17"/>
        </w:rPr>
        <w:t>EDUCATION &amp; REGULATORY CREDENTIALS</w:t>
      </w:r>
    </w:p>
    <w:p>
      <w:pPr>
        <w:spacing w:before="0" w:after="18"/>
        <w:ind w:left="180" w:hanging="180"/>
      </w:pPr>
      <w:r>
        <w:rPr>
          <w:rFonts w:ascii="Arial" w:hAnsi="Arial"/>
          <w:b/>
          <w:color w:val="0F2942"/>
          <w:sz w:val="15"/>
        </w:rPr>
        <w:t xml:space="preserve">•  </w:t>
      </w:r>
      <w:r>
        <w:rPr>
          <w:rFonts w:ascii="Arial" w:hAnsi="Arial"/>
          <w:b/>
          <w:color w:val="0F2942"/>
          <w:sz w:val="15"/>
        </w:rPr>
        <w:t xml:space="preserve">Bachelor of Commerce (Honours): </w:t>
      </w:r>
      <w:r>
        <w:rPr>
          <w:rFonts w:ascii="Arial" w:hAnsi="Arial"/>
          <w:color w:val="1A202C"/>
          <w:sz w:val="15"/>
        </w:rPr>
        <w:t>Kirori Mal College, University of Delhi (2011 - 2014) | 71% Marks (First Division)</w:t>
      </w:r>
    </w:p>
    <w:p>
      <w:pPr>
        <w:spacing w:before="0" w:after="18"/>
        <w:ind w:left="180" w:hanging="180"/>
      </w:pPr>
      <w:r>
        <w:rPr>
          <w:rFonts w:ascii="Arial" w:hAnsi="Arial"/>
          <w:b/>
          <w:color w:val="0F2942"/>
          <w:sz w:val="15"/>
        </w:rPr>
        <w:t xml:space="preserve">•  </w:t>
      </w:r>
      <w:r>
        <w:rPr>
          <w:rFonts w:ascii="Arial" w:hAnsi="Arial"/>
          <w:b/>
          <w:color w:val="0F2942"/>
          <w:sz w:val="15"/>
        </w:rPr>
        <w:t xml:space="preserve">Chartered Accountancy (CA Final): </w:t>
      </w:r>
      <w:r>
        <w:rPr>
          <w:rFonts w:ascii="Arial" w:hAnsi="Arial"/>
          <w:color w:val="1A202C"/>
          <w:sz w:val="15"/>
        </w:rPr>
        <w:t>Institute of Chartered Accountants of India (ICAI, 2018) | 78% Marks (Cleared Group 1)</w:t>
      </w:r>
    </w:p>
    <w:p>
      <w:pPr>
        <w:spacing w:before="0" w:after="18"/>
        <w:ind w:left="180" w:hanging="180"/>
      </w:pPr>
      <w:r>
        <w:rPr>
          <w:rFonts w:ascii="Arial" w:hAnsi="Arial"/>
          <w:b/>
          <w:color w:val="0F2942"/>
          <w:sz w:val="15"/>
        </w:rPr>
        <w:t xml:space="preserve">•  </w:t>
      </w:r>
      <w:r>
        <w:rPr>
          <w:rFonts w:ascii="Arial" w:hAnsi="Arial"/>
          <w:b/>
          <w:color w:val="0F2942"/>
          <w:sz w:val="15"/>
        </w:rPr>
        <w:t xml:space="preserve">Regulatory Licenses: </w:t>
      </w:r>
      <w:r>
        <w:rPr>
          <w:rFonts w:ascii="Arial" w:hAnsi="Arial"/>
          <w:color w:val="1A202C"/>
          <w:sz w:val="15"/>
        </w:rPr>
        <w:t>SEBI Registered Research Analyst | NISM Series-XV: Research Analyst</w:t>
      </w:r>
    </w:p>
    <w:sectPr w:rsidR="00FC693F" w:rsidRPr="0006063C" w:rsidSect="00034616">
      <w:pgSz w:w="11906" w:h="16838"/>
      <w:pgMar w:top="500" w:right="680" w:bottom="44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