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66A8A" w14:textId="5ACF42A6" w:rsidR="00052555" w:rsidRDefault="001B7A53">
      <w:r>
        <w:t>Математические методы нарушения конфиденциальности и аутентичности информации без знания ключей</w:t>
      </w:r>
      <w:r w:rsidRPr="001B7A53">
        <w:drawing>
          <wp:inline distT="0" distB="0" distL="0" distR="0" wp14:anchorId="44389FCF" wp14:editId="27E6C2E3">
            <wp:extent cx="5601482" cy="173379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BF62" w14:textId="30426B6B" w:rsidR="001B7A53" w:rsidRDefault="001B7A53">
      <w:r>
        <w:t>По умолчанию право на подключение к общей базе данных предоставляется</w:t>
      </w:r>
      <w:r>
        <w:br/>
      </w:r>
      <w:r w:rsidRPr="001B7A53">
        <w:drawing>
          <wp:inline distT="0" distB="0" distL="0" distR="0" wp14:anchorId="4A88AF98" wp14:editId="623F44E2">
            <wp:extent cx="5163271" cy="183858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FAF20" w14:textId="38C26C31" w:rsidR="001B7A53" w:rsidRDefault="001B7A53">
      <w:pPr>
        <w:rPr>
          <w:lang w:val="en-US"/>
        </w:rPr>
      </w:pPr>
      <w:r>
        <w:t xml:space="preserve">Наименее затратный криптоанализ для криптоалгоритма </w:t>
      </w:r>
      <w:r>
        <w:rPr>
          <w:lang w:val="en-US"/>
        </w:rPr>
        <w:t>DES</w:t>
      </w:r>
      <w:r>
        <w:br/>
      </w:r>
      <w:r w:rsidRPr="001B7A53">
        <w:drawing>
          <wp:inline distT="0" distB="0" distL="0" distR="0" wp14:anchorId="1368B8DB" wp14:editId="7D36C221">
            <wp:extent cx="5940425" cy="23018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658D" w14:textId="6C948A9F" w:rsidR="001B7A53" w:rsidRDefault="001B7A53">
      <w:r>
        <w:lastRenderedPageBreak/>
        <w:t>Главным параметром криптосистемы является показатель</w:t>
      </w:r>
      <w:r>
        <w:br/>
      </w:r>
      <w:r w:rsidRPr="001B7A53">
        <w:drawing>
          <wp:inline distT="0" distB="0" distL="0" distR="0" wp14:anchorId="3D554DD9" wp14:editId="66232021">
            <wp:extent cx="5940425" cy="2174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E08A" w14:textId="1B2B6A5A" w:rsidR="001B7A53" w:rsidRDefault="001B7A53">
      <w:r>
        <w:t>Первым этапом разработки системы защиты информационной системы является</w:t>
      </w:r>
    </w:p>
    <w:p w14:paraId="6B9BB4F1" w14:textId="0D765DB3" w:rsidR="001B7A53" w:rsidRDefault="001B7A53">
      <w:r w:rsidRPr="001B7A53">
        <w:drawing>
          <wp:inline distT="0" distB="0" distL="0" distR="0" wp14:anchorId="27133FC7" wp14:editId="2DFE3CFC">
            <wp:extent cx="5940425" cy="2197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60D1" w14:textId="795AA676" w:rsidR="001B7A53" w:rsidRDefault="001B7A53">
      <w:r>
        <w:t>Организационные требования к системе защиты</w:t>
      </w:r>
      <w:r>
        <w:br/>
      </w:r>
      <w:r w:rsidR="008755F3" w:rsidRPr="008755F3">
        <w:drawing>
          <wp:inline distT="0" distB="0" distL="0" distR="0" wp14:anchorId="6F5188C1" wp14:editId="34FD6D66">
            <wp:extent cx="5940425" cy="23025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F6DA" w14:textId="3E32670D" w:rsidR="008755F3" w:rsidRDefault="008755F3">
      <w:r>
        <w:lastRenderedPageBreak/>
        <w:t>Политика информационной безопасности – это</w:t>
      </w:r>
      <w:r>
        <w:br/>
      </w:r>
      <w:r w:rsidRPr="008755F3">
        <w:drawing>
          <wp:inline distT="0" distB="0" distL="0" distR="0" wp14:anchorId="7CB4272E" wp14:editId="375475A7">
            <wp:extent cx="5940425" cy="25933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4054" w14:textId="50BBF83A" w:rsidR="008755F3" w:rsidRDefault="008755F3">
      <w:r>
        <w:t>Основной целью системы брандмауэра является управление доступом</w:t>
      </w:r>
      <w:r>
        <w:br/>
      </w:r>
      <w:r w:rsidRPr="008755F3">
        <w:drawing>
          <wp:inline distT="0" distB="0" distL="0" distR="0" wp14:anchorId="1B0D6ED3" wp14:editId="768112D2">
            <wp:extent cx="5940425" cy="22091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9F50" w14:textId="3FCAEB31" w:rsidR="008755F3" w:rsidRDefault="008755F3">
      <w:r>
        <w:t>Длина исходного ключа в ГОСТ 28147-89 (бит)</w:t>
      </w:r>
    </w:p>
    <w:p w14:paraId="66AD88B2" w14:textId="358F260F" w:rsidR="008755F3" w:rsidRDefault="008755F3">
      <w:r w:rsidRPr="008755F3">
        <w:drawing>
          <wp:inline distT="0" distB="0" distL="0" distR="0" wp14:anchorId="64A2B25B" wp14:editId="05980F49">
            <wp:extent cx="5940425" cy="2232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3CC50" w14:textId="009C91DF" w:rsidR="008755F3" w:rsidRDefault="008755F3">
      <w:r>
        <w:lastRenderedPageBreak/>
        <w:t>Основу политики безопасности составляет</w:t>
      </w:r>
      <w:r>
        <w:br/>
      </w:r>
      <w:r w:rsidRPr="008755F3">
        <w:drawing>
          <wp:inline distT="0" distB="0" distL="0" distR="0" wp14:anchorId="7F87DEDB" wp14:editId="41F5752A">
            <wp:extent cx="5940425" cy="2172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C1AD" w14:textId="44A2EFBB" w:rsidR="008755F3" w:rsidRDefault="008755F3">
      <w:r>
        <w:t xml:space="preserve">Из перечисленных свойств безопасная система обладает </w:t>
      </w:r>
      <w:r>
        <w:br/>
      </w:r>
      <w:r w:rsidRPr="008755F3">
        <w:drawing>
          <wp:inline distT="0" distB="0" distL="0" distR="0" wp14:anchorId="253BF241" wp14:editId="74643DC7">
            <wp:extent cx="5940425" cy="2473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BD43" w14:textId="1936DCE0" w:rsidR="008755F3" w:rsidRDefault="008755F3">
      <w:r>
        <w:t>С помощью закрытого ключа информация</w:t>
      </w:r>
      <w:r>
        <w:br/>
      </w:r>
      <w:r w:rsidRPr="008755F3">
        <w:drawing>
          <wp:inline distT="0" distB="0" distL="0" distR="0" wp14:anchorId="5FB8CE9F" wp14:editId="310EA0AD">
            <wp:extent cx="5940425" cy="203454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308D" w14:textId="3597B40C" w:rsidR="008755F3" w:rsidRDefault="008755F3">
      <w:r>
        <w:lastRenderedPageBreak/>
        <w:t>Два ключа используются в криптосистемах</w:t>
      </w:r>
      <w:r>
        <w:br/>
      </w:r>
      <w:r w:rsidRPr="008755F3">
        <w:drawing>
          <wp:inline distT="0" distB="0" distL="0" distR="0" wp14:anchorId="195988B1" wp14:editId="2C1ED32A">
            <wp:extent cx="5940425" cy="22072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F645" w14:textId="593198D1" w:rsidR="008755F3" w:rsidRDefault="008755F3">
      <w:r>
        <w:t>Конечное множество используемых для кодирования информации знаков называется</w:t>
      </w:r>
      <w:r>
        <w:br/>
      </w:r>
      <w:r w:rsidRPr="008755F3">
        <w:drawing>
          <wp:inline distT="0" distB="0" distL="0" distR="0" wp14:anchorId="5704AEA6" wp14:editId="7BBF755A">
            <wp:extent cx="5940425" cy="230568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075E5" w14:textId="2948CBB5" w:rsidR="008755F3" w:rsidRDefault="008755F3">
      <w:r>
        <w:t>Метод управления доступом, при котором каждому объекту системы присваивается метка критичности, определяющая ценность информации, называется</w:t>
      </w:r>
      <w:r>
        <w:br/>
      </w:r>
      <w:r w:rsidRPr="008755F3">
        <w:drawing>
          <wp:inline distT="0" distB="0" distL="0" distR="0" wp14:anchorId="5E9E396D" wp14:editId="44B33017">
            <wp:extent cx="5940425" cy="23850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A110" w14:textId="6CF496D6" w:rsidR="008755F3" w:rsidRDefault="008755F3">
      <w:r>
        <w:t>Присвоение субъектам и объектам доступа уникального номера, шифра, кода и т.п. с целью получения доступа к информации – это</w:t>
      </w:r>
      <w:r>
        <w:br/>
      </w:r>
      <w:r w:rsidR="00A64573" w:rsidRPr="00A64573">
        <w:lastRenderedPageBreak/>
        <w:drawing>
          <wp:inline distT="0" distB="0" distL="0" distR="0" wp14:anchorId="6F4F8D11" wp14:editId="0D7132AB">
            <wp:extent cx="5940425" cy="23577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573">
        <w:br/>
        <w:t>Из перечисленного угрозы безопасности по природе происхождения классифицируются как</w:t>
      </w:r>
      <w:r w:rsidR="00A64573">
        <w:br/>
      </w:r>
      <w:r w:rsidR="00A64573" w:rsidRPr="00A64573">
        <w:drawing>
          <wp:inline distT="0" distB="0" distL="0" distR="0" wp14:anchorId="3E81F6E4" wp14:editId="3F34F054">
            <wp:extent cx="5940425" cy="27914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8527" w14:textId="306F38B6" w:rsidR="00A64573" w:rsidRDefault="00A64573">
      <w:r>
        <w:t>Проверка подлинности субъекта по предъявленному им идентификатору для принятия о предоставлении ему доступа к ресурсам системы – это</w:t>
      </w:r>
      <w:r>
        <w:br/>
        <w:t xml:space="preserve"> </w:t>
      </w:r>
      <w:r w:rsidRPr="00A64573">
        <w:drawing>
          <wp:inline distT="0" distB="0" distL="0" distR="0" wp14:anchorId="4E2BCD93" wp14:editId="02C3E685">
            <wp:extent cx="5940425" cy="23761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6108" w14:textId="22FAE2A8" w:rsidR="00A64573" w:rsidRDefault="00A64573">
      <w:r>
        <w:lastRenderedPageBreak/>
        <w:t>Что не является назначением аудита событий безопасности в компьютерной системе</w:t>
      </w:r>
      <w:r>
        <w:br/>
      </w:r>
      <w:r w:rsidRPr="00A64573">
        <w:drawing>
          <wp:inline distT="0" distB="0" distL="0" distR="0" wp14:anchorId="49732FA2" wp14:editId="0C2C851A">
            <wp:extent cx="3886742" cy="2353003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471" w14:textId="24FE8400" w:rsidR="00A64573" w:rsidRDefault="00A64573">
      <w:pPr>
        <w:rPr>
          <w:lang w:val="en-US"/>
        </w:rPr>
      </w:pPr>
      <w:r>
        <w:t xml:space="preserve">Какой из протоколов не может применяться для построения </w:t>
      </w:r>
      <w:r>
        <w:rPr>
          <w:lang w:val="en-US"/>
        </w:rPr>
        <w:t>VPN</w:t>
      </w:r>
      <w:r>
        <w:br/>
      </w:r>
      <w:r w:rsidRPr="00A64573">
        <w:drawing>
          <wp:inline distT="0" distB="0" distL="0" distR="0" wp14:anchorId="4F9C7F55" wp14:editId="5CF1029F">
            <wp:extent cx="4791744" cy="2181529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BF9A" w14:textId="5B277E84" w:rsidR="00A64573" w:rsidRDefault="00A64573">
      <w:r>
        <w:t>Что относится к косвенным каналам утечки информации</w:t>
      </w:r>
      <w:r>
        <w:br/>
      </w:r>
      <w:r w:rsidRPr="00A64573">
        <w:drawing>
          <wp:inline distT="0" distB="0" distL="0" distR="0" wp14:anchorId="30822E0E" wp14:editId="5B2CA7A0">
            <wp:extent cx="3896269" cy="1733792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67A5" w14:textId="72EF535C" w:rsidR="00A64573" w:rsidRDefault="00A64573">
      <w:pPr>
        <w:rPr>
          <w:lang w:val="en-US"/>
        </w:rPr>
      </w:pPr>
      <w:r>
        <w:lastRenderedPageBreak/>
        <w:t xml:space="preserve">В чем разница между протоколами </w:t>
      </w:r>
      <w:r>
        <w:rPr>
          <w:lang w:val="en-US"/>
        </w:rPr>
        <w:t>AH</w:t>
      </w:r>
      <w:r w:rsidRPr="00A64573">
        <w:t xml:space="preserve"> </w:t>
      </w:r>
      <w:r>
        <w:t xml:space="preserve">и </w:t>
      </w:r>
      <w:r>
        <w:rPr>
          <w:lang w:val="en-US"/>
        </w:rPr>
        <w:t>ESP</w:t>
      </w:r>
      <w:r>
        <w:t xml:space="preserve"> в </w:t>
      </w:r>
      <w:proofErr w:type="spellStart"/>
      <w:r>
        <w:rPr>
          <w:lang w:val="en-US"/>
        </w:rPr>
        <w:t>IPSec</w:t>
      </w:r>
      <w:proofErr w:type="spellEnd"/>
      <w:r>
        <w:rPr>
          <w:lang w:val="en-US"/>
        </w:rPr>
        <w:br/>
      </w:r>
      <w:r w:rsidRPr="00A64573">
        <w:drawing>
          <wp:inline distT="0" distB="0" distL="0" distR="0" wp14:anchorId="70F9B1AD" wp14:editId="6F282A65">
            <wp:extent cx="3896269" cy="2124371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D533" w14:textId="0D9DBE4A" w:rsidR="00A64573" w:rsidRPr="00A206DE" w:rsidRDefault="00A64573"/>
    <w:sectPr w:rsidR="00A64573" w:rsidRPr="00A206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F39"/>
    <w:rsid w:val="00052555"/>
    <w:rsid w:val="001B7A53"/>
    <w:rsid w:val="00412F39"/>
    <w:rsid w:val="008755F3"/>
    <w:rsid w:val="009D6A40"/>
    <w:rsid w:val="00A206DE"/>
    <w:rsid w:val="00A64573"/>
    <w:rsid w:val="00B7309A"/>
    <w:rsid w:val="00C34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5F8785"/>
  <w15:chartTrackingRefBased/>
  <w15:docId w15:val="{4D47DB0A-9C8D-47E0-AB19-BBD9312BC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rFonts w:ascii="Times New Roman" w:hAnsi="Times New Roman"/>
      <w:bCs/>
      <w:iCs/>
      <w:sz w:val="28"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</cp:revision>
  <dcterms:created xsi:type="dcterms:W3CDTF">2023-04-19T11:42:00Z</dcterms:created>
  <dcterms:modified xsi:type="dcterms:W3CDTF">2023-04-19T11:59:00Z</dcterms:modified>
</cp:coreProperties>
</file>