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E0B6" w14:textId="5A94BA5B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B827A3">
        <w:t xml:space="preserve">1. </w:t>
      </w:r>
      <w:r>
        <w:t>Пример нефункционального требования к ПП: программное обеспечение должно иметь высокую степень надежности и безопасности.</w:t>
      </w:r>
    </w:p>
    <w:p w14:paraId="57097CA9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7C72B20B" w14:textId="6D66A9A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rPr>
          <w:lang w:val="en-US"/>
        </w:rPr>
        <w:t xml:space="preserve">2. </w:t>
      </w:r>
      <w:r>
        <w:t>Основные источники информации:</w:t>
      </w:r>
    </w:p>
    <w:p w14:paraId="57255A76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Заказчик</w:t>
      </w:r>
    </w:p>
    <w:p w14:paraId="4F0C547B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Пользователи</w:t>
      </w:r>
    </w:p>
    <w:p w14:paraId="2711D6F1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Разработчики</w:t>
      </w:r>
    </w:p>
    <w:p w14:paraId="726F905F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Аналогичные продукты на рынке</w:t>
      </w:r>
    </w:p>
    <w:p w14:paraId="3D028EE3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Стандарты и регулирующие документы</w:t>
      </w:r>
    </w:p>
    <w:p w14:paraId="26307667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Интернет-ресурсы</w:t>
      </w:r>
    </w:p>
    <w:p w14:paraId="2C3B2263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Книги и статьи</w:t>
      </w:r>
    </w:p>
    <w:p w14:paraId="73A3090D" w14:textId="41983C5A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rPr>
          <w:lang w:val="en-US"/>
        </w:rPr>
        <w:t xml:space="preserve">3. </w:t>
      </w:r>
      <w:r>
        <w:t>Методы сбора информации:</w:t>
      </w:r>
    </w:p>
    <w:p w14:paraId="509F36CD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Наблюдение и изучение процессов и документации</w:t>
      </w:r>
    </w:p>
    <w:p w14:paraId="070632B7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Интервьюирование заказчика, пользователей и разработчиков</w:t>
      </w:r>
    </w:p>
    <w:p w14:paraId="13D43A99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Анкетирование</w:t>
      </w:r>
    </w:p>
    <w:p w14:paraId="4FD8C830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Фокус-группы</w:t>
      </w:r>
    </w:p>
    <w:p w14:paraId="4A84B3A7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Экспертные оценки</w:t>
      </w:r>
    </w:p>
    <w:p w14:paraId="5FECDBD1" w14:textId="1BF66048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Тестирование и анализ данных</w:t>
      </w:r>
    </w:p>
    <w:p w14:paraId="55D87E00" w14:textId="77777777" w:rsidR="00044BB7" w:rsidRDefault="00044BB7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1CB9CC13" w14:textId="42A60C6F" w:rsidR="00B827A3" w:rsidRDefault="008D6579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8D6579">
        <w:t>4</w:t>
      </w:r>
      <w:r w:rsidR="00B827A3" w:rsidRPr="00B827A3">
        <w:t xml:space="preserve">. </w:t>
      </w:r>
      <w:r w:rsidR="00B827A3">
        <w:t>Диаграммы IDEF0 используются для моделирования и анализа процессов в организации, включая процессы разработки программного обеспечения.</w:t>
      </w:r>
    </w:p>
    <w:p w14:paraId="1ED6C501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30507182" w14:textId="35722929" w:rsidR="00B827A3" w:rsidRDefault="008D6579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8D6579">
        <w:t>5</w:t>
      </w:r>
      <w:r w:rsidR="00B827A3" w:rsidRPr="00B827A3">
        <w:t xml:space="preserve">. </w:t>
      </w:r>
      <w:r w:rsidR="00B827A3">
        <w:t xml:space="preserve">Диаграммы </w:t>
      </w:r>
      <w:proofErr w:type="spellStart"/>
      <w:r w:rsidR="00B827A3">
        <w:t>Use</w:t>
      </w:r>
      <w:proofErr w:type="spellEnd"/>
      <w:r w:rsidR="00B827A3">
        <w:t xml:space="preserve"> Case используются для описания функциональности программного обеспечения с точки зрения пользователей, включая действия, которые они могут выполнять и результаты, которые они могут ожидать.</w:t>
      </w:r>
    </w:p>
    <w:p w14:paraId="191F6045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63F42BD8" w14:textId="19E6A6BF" w:rsidR="00B827A3" w:rsidRDefault="008D6579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8D6579">
        <w:t>6</w:t>
      </w:r>
      <w:r w:rsidR="00B827A3" w:rsidRPr="00B827A3">
        <w:t xml:space="preserve">. </w:t>
      </w:r>
      <w:r w:rsidR="00B827A3">
        <w:t>Техническое задание по ГОСТ 19.201-78 должно содержать следующие разделы:</w:t>
      </w:r>
    </w:p>
    <w:p w14:paraId="2942E911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Назначение и область применения</w:t>
      </w:r>
    </w:p>
    <w:p w14:paraId="06F404BA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Технические требования</w:t>
      </w:r>
    </w:p>
    <w:p w14:paraId="5A65F4FD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Технические условия выполнения работы</w:t>
      </w:r>
    </w:p>
    <w:p w14:paraId="14746834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Порядок контроля и приемки работы</w:t>
      </w:r>
    </w:p>
    <w:p w14:paraId="50CE41A5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Техническая документация</w:t>
      </w:r>
    </w:p>
    <w:p w14:paraId="13B93DF9" w14:textId="5EEF3514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Требования к упаковке, маркировке, транспортировке и хранению</w:t>
      </w:r>
    </w:p>
    <w:p w14:paraId="19D422E0" w14:textId="77777777" w:rsidR="00044BB7" w:rsidRDefault="00044BB7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448B2391" w14:textId="15000494" w:rsidR="00B827A3" w:rsidRDefault="008D6579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8D6579">
        <w:t>7</w:t>
      </w:r>
      <w:r w:rsidR="00B827A3" w:rsidRPr="00B827A3">
        <w:t xml:space="preserve">. </w:t>
      </w:r>
      <w:r w:rsidR="00B827A3">
        <w:t>Термин "программа" обычно означает код, написанный программистом, тогда как "программный продукт" означает комплексный продукт, который включает в себя программу, документацию, поддержку и т.д.</w:t>
      </w:r>
    </w:p>
    <w:p w14:paraId="28E04EAA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40369332" w14:textId="5A3B2D5E" w:rsidR="00B827A3" w:rsidRDefault="008D6579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8D6579">
        <w:t>8</w:t>
      </w:r>
      <w:r w:rsidR="00B827A3" w:rsidRPr="00B827A3">
        <w:t xml:space="preserve">. </w:t>
      </w:r>
      <w:r w:rsidR="00B827A3">
        <w:t>При реализации процесса управления разработкой ПС выполняются такие работы, как планирование, анализ требований, проектирование, разработка кода, тестирование, внедрение, поддержка и обслуживание ПС.</w:t>
      </w:r>
    </w:p>
    <w:p w14:paraId="08B9AAED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66B766F6" w14:textId="7AA31D45" w:rsidR="00B827A3" w:rsidRDefault="008D6579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8D6579">
        <w:t>9</w:t>
      </w:r>
      <w:r w:rsidR="00B827A3" w:rsidRPr="00B827A3">
        <w:t xml:space="preserve">. </w:t>
      </w:r>
      <w:r w:rsidR="00B827A3">
        <w:t>Основные подходы к организации бригад-разработчиков ПС:</w:t>
      </w:r>
    </w:p>
    <w:p w14:paraId="24F5C848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Функциональные бригады</w:t>
      </w:r>
    </w:p>
    <w:p w14:paraId="04112EA1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Бригады по проектам</w:t>
      </w:r>
    </w:p>
    <w:p w14:paraId="22367A02" w14:textId="77777777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Матричные бригады</w:t>
      </w:r>
    </w:p>
    <w:p w14:paraId="75F1EFD5" w14:textId="467924FE" w:rsidR="00B827A3" w:rsidRDefault="00B827A3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Гибкие бригады</w:t>
      </w:r>
    </w:p>
    <w:p w14:paraId="308CEC95" w14:textId="295CCE79" w:rsidR="005A1250" w:rsidRDefault="005A1250" w:rsidP="00044BB7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338DDA49" w14:textId="35E128F5" w:rsidR="005A1250" w:rsidRDefault="005A1250" w:rsidP="005A1250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5A1250">
        <w:t xml:space="preserve">10. </w:t>
      </w:r>
      <w:r>
        <w:t>Основными достоинствами "обычной бригады" являются:</w:t>
      </w:r>
    </w:p>
    <w:p w14:paraId="63FBE26E" w14:textId="77777777" w:rsidR="005A1250" w:rsidRDefault="005A1250" w:rsidP="005A1250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lastRenderedPageBreak/>
        <w:t>Простота организации и управления. В такой бригаде нет излишней сложности в распределении задач и контроле за выполнением работ, что упрощает процесс управления проектом.</w:t>
      </w:r>
    </w:p>
    <w:p w14:paraId="512A93D7" w14:textId="77777777" w:rsidR="005A1250" w:rsidRDefault="005A1250" w:rsidP="005A1250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Гибкость. Бригада может легко адаптироваться к изменениям в проекте, так как ее состав и структура не слишком жестко зафиксированы.</w:t>
      </w:r>
    </w:p>
    <w:p w14:paraId="69767EF0" w14:textId="1A3111A0" w:rsidR="005A1250" w:rsidRDefault="005A1250" w:rsidP="005A1250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Отсутствие избыточных затрат. Так как в такой бригаде нет излишней иерархии, то затраты на ее содержание будут минимальными.</w:t>
      </w:r>
    </w:p>
    <w:p w14:paraId="677DE2D7" w14:textId="77777777" w:rsidR="008D6579" w:rsidRDefault="008D6579" w:rsidP="005A1250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1BB76F90" w14:textId="77777777" w:rsidR="00497461" w:rsidRDefault="005A1250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5A1250">
        <w:t xml:space="preserve">11. </w:t>
      </w:r>
      <w:r w:rsidR="00497461">
        <w:t>Основными достоинствами "обычной бригады" являются:</w:t>
      </w:r>
    </w:p>
    <w:p w14:paraId="673F9E02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Простота организации и управления. В такой бригаде нет излишней сложности в распределении задач и контроле за выполнением работ, что упрощает процесс управления проектом.</w:t>
      </w:r>
    </w:p>
    <w:p w14:paraId="0E9DA37F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Гибкость. Бригада может легко адаптироваться к изменениям в проекте, так как ее состав и структура не слишком жестко зафиксированы.</w:t>
      </w:r>
    </w:p>
    <w:p w14:paraId="3DE6D8A3" w14:textId="25A88A44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Отсутствие избыточных затрат. Так как в такой бригаде нет излишней иерархии, то затраты на ее содержание будут минимальными.</w:t>
      </w:r>
    </w:p>
    <w:p w14:paraId="4DCD207A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447CD56C" w14:textId="77777777" w:rsidR="00497461" w:rsidRDefault="005A1250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5A1250">
        <w:t xml:space="preserve">12. </w:t>
      </w:r>
      <w:r w:rsidR="00497461">
        <w:t>В бригаде ведущего программиста можно выделить следующие роли:</w:t>
      </w:r>
    </w:p>
    <w:p w14:paraId="04147C23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Ведущий программист (технический лидер) – отвечает за технический аспект проекта, включая архитектуру, выбор технологий и т.д.</w:t>
      </w:r>
    </w:p>
    <w:p w14:paraId="20EAED69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Руководитель проекта – отвечает за планирование, контроль за выполнением работ, связь с заказчиком и другими сторонами проекта.</w:t>
      </w:r>
    </w:p>
    <w:p w14:paraId="6FA28C70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QA-инженер – отвечает за контроль качества программного кода и тестирование продукта.</w:t>
      </w:r>
    </w:p>
    <w:p w14:paraId="13BA7965" w14:textId="7CF74D36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UI/UX-дизайнер – отвечает за дизайн пользовательского интерфейса.</w:t>
      </w:r>
    </w:p>
    <w:p w14:paraId="3659F8EB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48786C63" w14:textId="77777777" w:rsidR="00497461" w:rsidRDefault="005A1250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5A1250">
        <w:t xml:space="preserve">13. </w:t>
      </w:r>
      <w:r w:rsidR="00497461">
        <w:t>На лидера бригады возлагаются следующие функции:</w:t>
      </w:r>
    </w:p>
    <w:p w14:paraId="4EE2F086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Планирование работ и контроль их выполнения.</w:t>
      </w:r>
    </w:p>
    <w:p w14:paraId="7332275C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Распределение задач между участниками бригады.</w:t>
      </w:r>
    </w:p>
    <w:p w14:paraId="661CD6BA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Поиск решений при возникновении проблем.</w:t>
      </w:r>
    </w:p>
    <w:p w14:paraId="7B668365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Координация работы участников бригады.</w:t>
      </w:r>
    </w:p>
    <w:p w14:paraId="26CBB420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Взаимодействие с заказчиком и другими сторонами проекта.</w:t>
      </w:r>
    </w:p>
    <w:p w14:paraId="57C60EDA" w14:textId="6FCA01F8" w:rsidR="00A35C23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Обеспечение качества и сроков выполнения работ.</w:t>
      </w:r>
    </w:p>
    <w:p w14:paraId="31856C53" w14:textId="77777777" w:rsidR="00497461" w:rsidRDefault="00A35C23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A35C23">
        <w:t xml:space="preserve">14. </w:t>
      </w:r>
      <w:r w:rsidR="00497461">
        <w:t>Оценка качества программных продуктов может проводиться в соответствии со следующими стандартами:</w:t>
      </w:r>
    </w:p>
    <w:p w14:paraId="669980E5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ISO/IEC 9126 - Стандарт, определяющий модель качества программного обеспечения и оценку этого качества.</w:t>
      </w:r>
    </w:p>
    <w:p w14:paraId="29F2BBBE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ISO/IEC 25000 - Стандарт, определяющий общие принципы и модели для оценки качества программного обеспечения.</w:t>
      </w:r>
    </w:p>
    <w:p w14:paraId="601926BD" w14:textId="77777777" w:rsidR="00497461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IEEE 829 - Стандарт, определяющий требования к документации, связанной с тестированием программного обеспечения.</w:t>
      </w:r>
    </w:p>
    <w:p w14:paraId="19918DB4" w14:textId="3FEFFBC6" w:rsidR="00A35C23" w:rsidRDefault="00497461" w:rsidP="00497461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IEEE 1012 - Стандарт, определяющий требования к процессу тестирования программного обеспечения.</w:t>
      </w:r>
    </w:p>
    <w:p w14:paraId="5A63CB94" w14:textId="1F54342B" w:rsidR="00B049EC" w:rsidRDefault="00B049EC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B049EC">
        <w:t xml:space="preserve">15. </w:t>
      </w:r>
      <w:r>
        <w:t>Под качеством программного обеспечения понимают совокупность свойств, характеризующих его способность удовлетворять установленные требования и ожидания пользователей. Качество ПО может включать такие характеристики, как функциональность, надежность, производительность, удобство использования, безопасность и т.д.</w:t>
      </w:r>
    </w:p>
    <w:p w14:paraId="4185DBCF" w14:textId="77777777" w:rsidR="00B049EC" w:rsidRDefault="00B049EC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474E7562" w14:textId="359D6BB5" w:rsidR="00B049EC" w:rsidRDefault="00B049EC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B049EC">
        <w:t xml:space="preserve">16. </w:t>
      </w:r>
      <w:r>
        <w:t>ГОСТ 19.101-77 определяет следующие характеристики качества программного обеспечения:</w:t>
      </w:r>
    </w:p>
    <w:p w14:paraId="27F9FAA2" w14:textId="77777777" w:rsidR="00B049EC" w:rsidRDefault="00B049EC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3C10DE03" w14:textId="77777777" w:rsidR="00B049EC" w:rsidRDefault="00B049EC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функциональность (способность ПО удовлетворять функциональные требования);</w:t>
      </w:r>
    </w:p>
    <w:p w14:paraId="6E21E5AA" w14:textId="77777777" w:rsidR="00B049EC" w:rsidRDefault="00B049EC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надежность (способность ПО выполнять заданные функции в определенных условиях);</w:t>
      </w:r>
    </w:p>
    <w:p w14:paraId="25749D07" w14:textId="77777777" w:rsidR="00B049EC" w:rsidRDefault="00B049EC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t>удобство использования (легкость использования и понимания интерфейса ПО);</w:t>
      </w:r>
    </w:p>
    <w:p w14:paraId="05B8C92C" w14:textId="77777777" w:rsidR="00B049EC" w:rsidRDefault="00B049EC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>
        <w:lastRenderedPageBreak/>
        <w:t>эффективность (способность ПО выполнять работу с необходимой производительностью);</w:t>
      </w:r>
    </w:p>
    <w:p w14:paraId="1D0A563B" w14:textId="77777777" w:rsidR="00B049EC" w:rsidRDefault="00B049EC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proofErr w:type="spellStart"/>
      <w:r>
        <w:t>портируемость</w:t>
      </w:r>
      <w:proofErr w:type="spellEnd"/>
      <w:r>
        <w:t xml:space="preserve"> (способность ПО работать на разных платформах).</w:t>
      </w:r>
    </w:p>
    <w:p w14:paraId="309AE695" w14:textId="5DF22A48" w:rsidR="00B049EC" w:rsidRDefault="00497461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497461">
        <w:t xml:space="preserve">17. </w:t>
      </w:r>
      <w:r w:rsidR="00B049EC">
        <w:t>Комплексные показатели качества сложно определить, так как они зависят от множества факторов, включая цели и требования конкретного проекта, особенности разработки и применения ПО. Кроме того, комплексные показатели качества могут быть субъективными и сложными для измерения.</w:t>
      </w:r>
    </w:p>
    <w:p w14:paraId="418CB11B" w14:textId="77777777" w:rsidR="00B049EC" w:rsidRDefault="00B049EC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</w:p>
    <w:p w14:paraId="7FF5EDCE" w14:textId="5B5BE88D" w:rsidR="00A35C23" w:rsidRDefault="00B049EC" w:rsidP="00B049EC">
      <w:pPr>
        <w:shd w:val="clear" w:color="auto" w:fill="FFFFFF"/>
        <w:tabs>
          <w:tab w:val="num" w:pos="1400"/>
        </w:tabs>
        <w:spacing w:after="0"/>
        <w:ind w:left="360" w:hanging="360"/>
        <w:jc w:val="both"/>
      </w:pPr>
      <w:r w:rsidRPr="00B049EC">
        <w:t>1</w:t>
      </w:r>
      <w:r w:rsidR="00497461" w:rsidRPr="00497461">
        <w:t>8</w:t>
      </w:r>
      <w:r w:rsidRPr="00B049EC">
        <w:t xml:space="preserve">. </w:t>
      </w:r>
      <w:r>
        <w:t>Показатели надежности, определенные разными стандартами, могут различаться по способам измерения и определения. Например, один стандарт может определять надежность как вероятность безотказной работы ПО в течение заданного периода времени, а другой стандарт может определять ее как способность ПО восстанавливаться после сбоев и ошибок. Кроме того, стандарты могут использовать разные метрики и методики для измерения надежности ПО.</w:t>
      </w:r>
    </w:p>
    <w:p w14:paraId="02FAF1A9" w14:textId="2B485B6C" w:rsidR="00052555" w:rsidRDefault="00052555" w:rsidP="003F3E51"/>
    <w:sectPr w:rsidR="00052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E04"/>
    <w:multiLevelType w:val="multilevel"/>
    <w:tmpl w:val="942AB1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3C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4209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479323A"/>
    <w:multiLevelType w:val="hybridMultilevel"/>
    <w:tmpl w:val="3FC28576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4" w15:restartNumberingAfterBreak="0">
    <w:nsid w:val="428248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B9"/>
    <w:rsid w:val="00044BB7"/>
    <w:rsid w:val="00052555"/>
    <w:rsid w:val="001406B9"/>
    <w:rsid w:val="003F3E51"/>
    <w:rsid w:val="00497461"/>
    <w:rsid w:val="005A1250"/>
    <w:rsid w:val="008D6579"/>
    <w:rsid w:val="009D6A40"/>
    <w:rsid w:val="00A35C23"/>
    <w:rsid w:val="00B049EC"/>
    <w:rsid w:val="00B7309A"/>
    <w:rsid w:val="00B827A3"/>
    <w:rsid w:val="00C3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A72A"/>
  <w15:chartTrackingRefBased/>
  <w15:docId w15:val="{541BE047-7B81-449C-81C0-39E0E77D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basedOn w:val="a"/>
    <w:next w:val="ae"/>
    <w:unhideWhenUsed/>
    <w:rsid w:val="003F3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3F3E51"/>
    <w:rPr>
      <w:rFonts w:ascii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3F3E5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3F3E51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2023-04-04T16:54:00Z</dcterms:created>
  <dcterms:modified xsi:type="dcterms:W3CDTF">2023-04-04T18:38:00Z</dcterms:modified>
</cp:coreProperties>
</file>